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7430E9A" w:rsidR="00E66558" w:rsidRPr="00B066DA"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3E4686" w:rsidRPr="00B066DA">
        <w:t>Samuel Ward Academy 202</w:t>
      </w:r>
      <w:r w:rsidR="00735CEF">
        <w:t>4</w:t>
      </w:r>
      <w:r w:rsidR="003E4686" w:rsidRPr="00B066DA">
        <w:t>-</w:t>
      </w:r>
      <w:r w:rsidR="002A613D">
        <w:t>2025</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51DFDE0" w:rsidR="002940F3" w:rsidRPr="00974449" w:rsidRDefault="003E4686">
            <w:pPr>
              <w:pStyle w:val="TableRow"/>
              <w:rPr>
                <w:color w:val="auto"/>
              </w:rPr>
            </w:pPr>
            <w:r w:rsidRPr="00974449">
              <w:rPr>
                <w:color w:val="auto"/>
              </w:rPr>
              <w:t>10</w:t>
            </w:r>
            <w:r w:rsidR="00974449" w:rsidRPr="00974449">
              <w:rPr>
                <w:color w:val="auto"/>
              </w:rPr>
              <w:t>33</w:t>
            </w:r>
            <w:r w:rsidRPr="00974449">
              <w:rPr>
                <w:color w:val="auto"/>
              </w:rPr>
              <w:t xml:space="preserve"> (excl Sixth Form)</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9E7452A" w:rsidR="006B4A0C" w:rsidRPr="00974449" w:rsidRDefault="00974449" w:rsidP="00974449">
            <w:pPr>
              <w:pStyle w:val="TableRow"/>
              <w:rPr>
                <w:color w:val="auto"/>
              </w:rPr>
            </w:pPr>
            <w:r w:rsidRPr="00974449">
              <w:rPr>
                <w:color w:val="auto"/>
              </w:rPr>
              <w:t>17</w:t>
            </w:r>
            <w:r w:rsidR="006B4A0C" w:rsidRPr="00974449">
              <w:rPr>
                <w:color w:val="auto"/>
              </w:rPr>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8E95404" w:rsidR="002940F3" w:rsidRDefault="003E4686">
            <w:pPr>
              <w:pStyle w:val="TableRow"/>
            </w:pPr>
            <w:r>
              <w:t>2024-2027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554D246" w:rsidR="002940F3" w:rsidRDefault="0013171F">
            <w:pPr>
              <w:pStyle w:val="TableRow"/>
            </w:pPr>
            <w:r>
              <w:t xml:space="preserve">November </w:t>
            </w:r>
            <w:r w:rsidR="003E4686">
              <w:t>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44E7CBB" w:rsidR="002940F3" w:rsidRDefault="0098234C">
            <w:pPr>
              <w:pStyle w:val="TableRow"/>
            </w:pPr>
            <w:r>
              <w:t xml:space="preserve">December </w:t>
            </w:r>
            <w:r w:rsidR="00742C55">
              <w:t>202</w:t>
            </w:r>
            <w:r w:rsidR="00B7129C">
              <w:t>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8DCB1AF" w:rsidR="002940F3" w:rsidRDefault="00A33949">
            <w:pPr>
              <w:pStyle w:val="TableRow"/>
            </w:pPr>
            <w:r>
              <w:t>Tom Johnston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5998D85" w:rsidR="002940F3" w:rsidRDefault="00A33949">
            <w:pPr>
              <w:pStyle w:val="TableRow"/>
            </w:pPr>
            <w:r>
              <w:t>Vicki Eldred</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7FD644D" w:rsidR="002940F3" w:rsidRDefault="003E4686">
            <w:pPr>
              <w:pStyle w:val="TableRow"/>
            </w:pPr>
            <w:r>
              <w:t>Sue Kehr</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2F82E38" w:rsidR="003E4686" w:rsidRDefault="00EE7443" w:rsidP="003E4686">
            <w:pPr>
              <w:pStyle w:val="TableRow"/>
            </w:pPr>
            <w:r>
              <w:t>£</w:t>
            </w:r>
            <w:r w:rsidR="00EC17CE">
              <w:t>18</w:t>
            </w:r>
            <w:r w:rsidR="00502BEF">
              <w:t>2</w:t>
            </w:r>
            <w:r>
              <w:t>,</w:t>
            </w:r>
            <w:r w:rsidR="00502BEF">
              <w:t>925</w:t>
            </w:r>
            <w:r>
              <w:t>.00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B0DE3D4" w:rsidR="00E66558" w:rsidRDefault="009D71E8">
            <w:pPr>
              <w:pStyle w:val="TableRow"/>
            </w:pPr>
            <w:r>
              <w:t>£</w:t>
            </w:r>
            <w:r w:rsidR="003E4686">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75458" w14:textId="4B8A274D" w:rsidR="00E66558" w:rsidRDefault="003E4686">
            <w:pPr>
              <w:pStyle w:val="TableRow"/>
            </w:pPr>
            <w:r>
              <w:t>20</w:t>
            </w:r>
            <w:r w:rsidR="00502BEF">
              <w:t xml:space="preserve">25/2026 </w:t>
            </w:r>
            <w:r w:rsidR="00EE7443">
              <w:t>£</w:t>
            </w:r>
            <w:r w:rsidR="00502BEF">
              <w:t>182,</w:t>
            </w:r>
            <w:r w:rsidR="00EE7443">
              <w:t>663.92</w:t>
            </w:r>
          </w:p>
          <w:p w14:paraId="1E1D9F96" w14:textId="745A6964" w:rsidR="003E4686" w:rsidRDefault="003E4686">
            <w:pPr>
              <w:pStyle w:val="TableRow"/>
            </w:pPr>
            <w:r>
              <w:t>20</w:t>
            </w:r>
            <w:r w:rsidR="00EE7443">
              <w:t>26/2027 £183,395.32</w:t>
            </w:r>
          </w:p>
          <w:p w14:paraId="2A7D54E2" w14:textId="5ACA670C" w:rsidR="003E4686" w:rsidRDefault="003E4686">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1F43" w14:textId="685A85E9" w:rsidR="009A632D" w:rsidRDefault="009A632D">
            <w:pPr>
              <w:spacing w:before="120"/>
            </w:pPr>
            <w:r>
              <w:t>Our expectation at Samuel Ward Academy is that all pupils, irrespective of background or the challenges they face, become strong readers and accumulate the cultural capital needed to succeed in modern Britain. We will use pupil premium funding to help us improve and sustain higher attainment for disadvantaged students until their achievement is at least as strong as non-disadvantaged students nationally. During the period of this strategy plan we will focus on the key challenges that are preventing our disadvantaged pupils from attaining well: attendance, reading</w:t>
            </w:r>
            <w:r w:rsidR="00B066DA">
              <w:t>,</w:t>
            </w:r>
            <w:r>
              <w:t xml:space="preserve"> and wider soft skills around relationships. Our approach will consider each student’s individual needs, rooted in robust diagnostic assessment, not assumptions about the impact of disadvantage. </w:t>
            </w:r>
          </w:p>
          <w:p w14:paraId="4D4609F9" w14:textId="4A4EB043" w:rsidR="009A632D" w:rsidRDefault="009A632D">
            <w:pPr>
              <w:spacing w:before="120"/>
            </w:pPr>
            <w:r>
              <w:t xml:space="preserve">During the next three years, 2024-2027, </w:t>
            </w:r>
            <w:r w:rsidR="00466EBD">
              <w:t>w</w:t>
            </w:r>
            <w:r>
              <w:t xml:space="preserve">e will: </w:t>
            </w:r>
          </w:p>
          <w:p w14:paraId="736142EA" w14:textId="418B664A" w:rsidR="009A632D" w:rsidRDefault="009A632D">
            <w:pPr>
              <w:spacing w:before="120"/>
            </w:pPr>
            <w:r>
              <w:t>• improve students’ attendance</w:t>
            </w:r>
          </w:p>
          <w:p w14:paraId="726D34E2" w14:textId="77777777" w:rsidR="009221CA" w:rsidRDefault="009221CA" w:rsidP="009221CA">
            <w:pPr>
              <w:spacing w:before="120"/>
            </w:pPr>
            <w:r>
              <w:t>• improve the precision and fluency with which students read</w:t>
            </w:r>
          </w:p>
          <w:p w14:paraId="1611322F" w14:textId="77777777" w:rsidR="009A632D" w:rsidRDefault="009A632D" w:rsidP="009A632D">
            <w:pPr>
              <w:spacing w:before="120"/>
            </w:pPr>
            <w:r>
              <w:t>• foster a safe and supportive environment where students receive the right support at the right time</w:t>
            </w:r>
          </w:p>
          <w:p w14:paraId="37D03B5A" w14:textId="1FA48419" w:rsidR="009A632D" w:rsidRDefault="009A632D" w:rsidP="009A632D">
            <w:pPr>
              <w:spacing w:before="120"/>
            </w:pPr>
            <w:r>
              <w:t>• further development students’ social skills and relationship building</w:t>
            </w:r>
          </w:p>
          <w:p w14:paraId="2A7D54E9" w14:textId="056C7F23" w:rsidR="00E66558" w:rsidRPr="009A632D" w:rsidRDefault="009A632D" w:rsidP="009A632D">
            <w:pPr>
              <w:spacing w:before="120"/>
              <w:rPr>
                <w:i/>
                <w:iCs/>
              </w:rPr>
            </w:pPr>
            <w:r>
              <w:t xml:space="preserve"> </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265"/>
        <w:gridCol w:w="8221"/>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D346" w14:textId="77777777" w:rsidR="003E4686" w:rsidRPr="009221CA" w:rsidRDefault="003E4686" w:rsidP="003E4686">
            <w:pPr>
              <w:pStyle w:val="TableRowCentered"/>
              <w:jc w:val="left"/>
              <w:rPr>
                <w:sz w:val="22"/>
                <w:szCs w:val="22"/>
              </w:rPr>
            </w:pPr>
            <w:r w:rsidRPr="009221CA">
              <w:rPr>
                <w:sz w:val="22"/>
                <w:szCs w:val="22"/>
              </w:rPr>
              <w:t>Attendance</w:t>
            </w:r>
          </w:p>
          <w:p w14:paraId="7AA5F31F" w14:textId="77777777" w:rsidR="00466EBD" w:rsidRPr="00466EBD" w:rsidRDefault="00466EBD" w:rsidP="003E4686">
            <w:pPr>
              <w:pStyle w:val="TableRowCentered"/>
              <w:jc w:val="left"/>
              <w:rPr>
                <w:sz w:val="20"/>
              </w:rPr>
            </w:pPr>
            <w:r w:rsidRPr="00466EBD">
              <w:rPr>
                <w:sz w:val="20"/>
              </w:rPr>
              <w:t xml:space="preserve">Our assessments, discussions and observations show that our disadvantaged students attend school less than their non-disadvantaged peers- a situation which has worsened since the Covid-19 pandemic. </w:t>
            </w:r>
          </w:p>
          <w:p w14:paraId="25B7D0FD" w14:textId="203BCF0C" w:rsidR="00466EBD" w:rsidRDefault="00466EBD" w:rsidP="003E4686">
            <w:pPr>
              <w:pStyle w:val="TableRowCentered"/>
              <w:jc w:val="left"/>
              <w:rPr>
                <w:sz w:val="20"/>
              </w:rPr>
            </w:pPr>
            <w:r w:rsidRPr="00466EBD">
              <w:rPr>
                <w:sz w:val="20"/>
              </w:rPr>
              <w:t xml:space="preserve">In the </w:t>
            </w:r>
            <w:r w:rsidR="00C96AEF">
              <w:rPr>
                <w:sz w:val="20"/>
              </w:rPr>
              <w:t>20</w:t>
            </w:r>
            <w:r w:rsidRPr="00466EBD">
              <w:rPr>
                <w:sz w:val="20"/>
              </w:rPr>
              <w:t>24 academic year to date the attendance figures for students in Years 7 to 11 are as follows:</w:t>
            </w:r>
          </w:p>
          <w:p w14:paraId="7E726925" w14:textId="08E97B7F" w:rsidR="00C96AEF" w:rsidRPr="00466EBD" w:rsidRDefault="00C96AEF" w:rsidP="003E4686">
            <w:pPr>
              <w:pStyle w:val="TableRowCentered"/>
              <w:jc w:val="left"/>
              <w:rPr>
                <w:sz w:val="20"/>
              </w:rPr>
            </w:pPr>
            <w:r>
              <w:rPr>
                <w:sz w:val="20"/>
              </w:rPr>
              <w:t>AUTUMN TERM 24-25</w:t>
            </w:r>
          </w:p>
          <w:p w14:paraId="395F0CF0" w14:textId="00336466" w:rsidR="00466EBD" w:rsidRPr="00466EBD" w:rsidRDefault="00466EBD" w:rsidP="003E4686">
            <w:pPr>
              <w:pStyle w:val="TableRowCentered"/>
              <w:jc w:val="left"/>
              <w:rPr>
                <w:sz w:val="20"/>
              </w:rPr>
            </w:pPr>
            <w:r w:rsidRPr="00466EBD">
              <w:rPr>
                <w:sz w:val="20"/>
              </w:rPr>
              <w:t>Year 7 PP students: 9</w:t>
            </w:r>
            <w:r w:rsidR="006C3B16">
              <w:rPr>
                <w:sz w:val="20"/>
              </w:rPr>
              <w:t>4</w:t>
            </w:r>
            <w:r w:rsidRPr="00466EBD">
              <w:rPr>
                <w:sz w:val="20"/>
              </w:rPr>
              <w:t>.</w:t>
            </w:r>
            <w:r w:rsidR="00C96AEF">
              <w:rPr>
                <w:sz w:val="20"/>
              </w:rPr>
              <w:t>1</w:t>
            </w:r>
            <w:r w:rsidRPr="00466EBD">
              <w:rPr>
                <w:sz w:val="20"/>
              </w:rPr>
              <w:t>%    Non PP: 94.</w:t>
            </w:r>
            <w:r w:rsidR="00C96AEF">
              <w:rPr>
                <w:sz w:val="20"/>
              </w:rPr>
              <w:t>2</w:t>
            </w:r>
            <w:r w:rsidRPr="00466EBD">
              <w:rPr>
                <w:sz w:val="20"/>
              </w:rPr>
              <w:t>%</w:t>
            </w:r>
          </w:p>
          <w:p w14:paraId="6FB29476" w14:textId="55D8CF8D" w:rsidR="00466EBD" w:rsidRPr="00466EBD" w:rsidRDefault="00466EBD" w:rsidP="003E4686">
            <w:pPr>
              <w:pStyle w:val="TableRowCentered"/>
              <w:jc w:val="left"/>
              <w:rPr>
                <w:sz w:val="20"/>
              </w:rPr>
            </w:pPr>
            <w:r w:rsidRPr="00466EBD">
              <w:rPr>
                <w:sz w:val="20"/>
              </w:rPr>
              <w:t>Year 8 PP students: 8</w:t>
            </w:r>
            <w:r w:rsidR="00A3706F">
              <w:rPr>
                <w:sz w:val="20"/>
              </w:rPr>
              <w:t>5</w:t>
            </w:r>
            <w:r w:rsidRPr="00466EBD">
              <w:rPr>
                <w:sz w:val="20"/>
              </w:rPr>
              <w:t>.2%    Non PP: 92.6%</w:t>
            </w:r>
          </w:p>
          <w:p w14:paraId="413DE4E4" w14:textId="13BAC3CB" w:rsidR="00466EBD" w:rsidRPr="00466EBD" w:rsidRDefault="00466EBD" w:rsidP="003E4686">
            <w:pPr>
              <w:pStyle w:val="TableRowCentered"/>
              <w:jc w:val="left"/>
              <w:rPr>
                <w:sz w:val="20"/>
              </w:rPr>
            </w:pPr>
            <w:r w:rsidRPr="00466EBD">
              <w:rPr>
                <w:sz w:val="20"/>
              </w:rPr>
              <w:lastRenderedPageBreak/>
              <w:t>Year 9 PP students: 7</w:t>
            </w:r>
            <w:r w:rsidR="00FE3024">
              <w:rPr>
                <w:sz w:val="20"/>
              </w:rPr>
              <w:t>2</w:t>
            </w:r>
            <w:r w:rsidRPr="00466EBD">
              <w:rPr>
                <w:sz w:val="20"/>
              </w:rPr>
              <w:t>.</w:t>
            </w:r>
            <w:r w:rsidR="00FE3024">
              <w:rPr>
                <w:sz w:val="20"/>
              </w:rPr>
              <w:t>9</w:t>
            </w:r>
            <w:r w:rsidRPr="00466EBD">
              <w:rPr>
                <w:sz w:val="20"/>
              </w:rPr>
              <w:t xml:space="preserve">%    Non PP: </w:t>
            </w:r>
            <w:r w:rsidR="00FE3024">
              <w:rPr>
                <w:sz w:val="20"/>
              </w:rPr>
              <w:t>92.</w:t>
            </w:r>
            <w:r w:rsidRPr="00466EBD">
              <w:rPr>
                <w:sz w:val="20"/>
              </w:rPr>
              <w:t>6%</w:t>
            </w:r>
          </w:p>
          <w:p w14:paraId="663C39F4" w14:textId="5D60B0C0" w:rsidR="00466EBD" w:rsidRPr="00466EBD" w:rsidRDefault="00466EBD" w:rsidP="003E4686">
            <w:pPr>
              <w:pStyle w:val="TableRowCentered"/>
              <w:jc w:val="left"/>
              <w:rPr>
                <w:sz w:val="20"/>
              </w:rPr>
            </w:pPr>
            <w:r w:rsidRPr="00466EBD">
              <w:rPr>
                <w:sz w:val="20"/>
              </w:rPr>
              <w:t xml:space="preserve">Year 10 PP students: </w:t>
            </w:r>
            <w:r w:rsidR="00314675">
              <w:rPr>
                <w:sz w:val="20"/>
              </w:rPr>
              <w:t>66</w:t>
            </w:r>
            <w:r w:rsidRPr="00466EBD">
              <w:rPr>
                <w:sz w:val="20"/>
              </w:rPr>
              <w:t>.</w:t>
            </w:r>
            <w:r w:rsidR="00314675">
              <w:rPr>
                <w:sz w:val="20"/>
              </w:rPr>
              <w:t>8</w:t>
            </w:r>
            <w:r w:rsidRPr="00466EBD">
              <w:rPr>
                <w:sz w:val="20"/>
              </w:rPr>
              <w:t xml:space="preserve">%    Non PP: </w:t>
            </w:r>
            <w:r w:rsidR="00ED6F47">
              <w:rPr>
                <w:sz w:val="20"/>
              </w:rPr>
              <w:t>92.3</w:t>
            </w:r>
            <w:r w:rsidRPr="00466EBD">
              <w:rPr>
                <w:sz w:val="20"/>
              </w:rPr>
              <w:t>%</w:t>
            </w:r>
          </w:p>
          <w:p w14:paraId="29AB09C2" w14:textId="333259E7" w:rsidR="00466EBD" w:rsidRPr="00466EBD" w:rsidRDefault="00466EBD" w:rsidP="003E4686">
            <w:pPr>
              <w:pStyle w:val="TableRowCentered"/>
              <w:jc w:val="left"/>
              <w:rPr>
                <w:sz w:val="20"/>
              </w:rPr>
            </w:pPr>
            <w:r w:rsidRPr="00466EBD">
              <w:rPr>
                <w:sz w:val="20"/>
              </w:rPr>
              <w:t>Year 11 PP students: 78.</w:t>
            </w:r>
            <w:r w:rsidR="00ED6F47">
              <w:rPr>
                <w:sz w:val="20"/>
              </w:rPr>
              <w:t>6</w:t>
            </w:r>
            <w:r w:rsidRPr="00466EBD">
              <w:rPr>
                <w:sz w:val="20"/>
              </w:rPr>
              <w:t>%    Non PP: 9</w:t>
            </w:r>
            <w:r w:rsidR="00ED6F47">
              <w:rPr>
                <w:sz w:val="20"/>
              </w:rPr>
              <w:t>1</w:t>
            </w:r>
            <w:r w:rsidRPr="00466EBD">
              <w:rPr>
                <w:sz w:val="20"/>
              </w:rPr>
              <w:t>.8%</w:t>
            </w:r>
          </w:p>
          <w:p w14:paraId="6062BB02" w14:textId="77777777" w:rsidR="00466EBD" w:rsidRDefault="00466EBD" w:rsidP="00ED6F47">
            <w:pPr>
              <w:pStyle w:val="TableRowCentered"/>
              <w:ind w:left="0"/>
              <w:jc w:val="left"/>
              <w:rPr>
                <w:sz w:val="20"/>
              </w:rPr>
            </w:pPr>
          </w:p>
          <w:p w14:paraId="1F1962E0" w14:textId="77777777" w:rsidR="00721CAE" w:rsidRDefault="00721CAE" w:rsidP="00ED6F47">
            <w:pPr>
              <w:pStyle w:val="TableRowCentered"/>
              <w:ind w:left="0"/>
              <w:jc w:val="left"/>
              <w:rPr>
                <w:sz w:val="20"/>
              </w:rPr>
            </w:pPr>
            <w:r>
              <w:rPr>
                <w:sz w:val="20"/>
              </w:rPr>
              <w:t>42% of PP students (Year to date) are Persistently Absent (PA)</w:t>
            </w:r>
          </w:p>
          <w:p w14:paraId="2A7D54F1" w14:textId="56E0224D" w:rsidR="00721CAE" w:rsidRPr="00466EBD" w:rsidRDefault="00721CAE" w:rsidP="00ED6F47">
            <w:pPr>
              <w:pStyle w:val="TableRowCentered"/>
              <w:ind w:left="0"/>
              <w:jc w:val="left"/>
              <w:rPr>
                <w:sz w:val="20"/>
              </w:rPr>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B2E2" w14:textId="77777777" w:rsidR="00E66558" w:rsidRPr="009221CA" w:rsidRDefault="003E4686">
            <w:pPr>
              <w:pStyle w:val="TableRowCentered"/>
              <w:jc w:val="left"/>
              <w:rPr>
                <w:szCs w:val="24"/>
              </w:rPr>
            </w:pPr>
            <w:r w:rsidRPr="009221CA">
              <w:rPr>
                <w:szCs w:val="24"/>
              </w:rPr>
              <w:t xml:space="preserve">Reading </w:t>
            </w:r>
          </w:p>
          <w:p w14:paraId="50B57F1D" w14:textId="04E93D66" w:rsidR="00466EBD" w:rsidRPr="00ED3E99" w:rsidRDefault="00466EBD">
            <w:pPr>
              <w:pStyle w:val="TableRowCentered"/>
              <w:jc w:val="left"/>
              <w:rPr>
                <w:sz w:val="20"/>
              </w:rPr>
            </w:pPr>
            <w:r w:rsidRPr="00ED3E99">
              <w:rPr>
                <w:sz w:val="20"/>
              </w:rPr>
              <w:t xml:space="preserve">Our assessments, discussions and observations show that our disadvantaged students are greater risk of weak reading accuracy and fluency.  </w:t>
            </w:r>
          </w:p>
          <w:p w14:paraId="2AF1EEAF" w14:textId="207E872D" w:rsidR="00466EBD" w:rsidRPr="00ED3E99" w:rsidRDefault="00ED3E99">
            <w:pPr>
              <w:pStyle w:val="TableRowCentered"/>
              <w:jc w:val="left"/>
              <w:rPr>
                <w:sz w:val="20"/>
              </w:rPr>
            </w:pPr>
            <w:r w:rsidRPr="00ED3E99">
              <w:rPr>
                <w:sz w:val="20"/>
              </w:rPr>
              <w:t>In 2024 NGRT assessments show the proportion of students with a standardised age score (SAS) below 90 as follows:</w:t>
            </w:r>
          </w:p>
          <w:p w14:paraId="7CC6EE54" w14:textId="5D6A8456" w:rsidR="00ED3E99" w:rsidRPr="00ED3E99" w:rsidRDefault="00ED3E99">
            <w:pPr>
              <w:pStyle w:val="TableRowCentered"/>
              <w:jc w:val="left"/>
              <w:rPr>
                <w:sz w:val="20"/>
              </w:rPr>
            </w:pPr>
            <w:r w:rsidRPr="00ED3E99">
              <w:rPr>
                <w:sz w:val="20"/>
              </w:rPr>
              <w:t>Year 7 PP:  31%    Non-PP: 19%</w:t>
            </w:r>
          </w:p>
          <w:p w14:paraId="18D9579C" w14:textId="6D68E1BF" w:rsidR="00ED3E99" w:rsidRPr="00ED3E99" w:rsidRDefault="00ED3E99" w:rsidP="00ED3E99">
            <w:pPr>
              <w:pStyle w:val="TableRowCentered"/>
              <w:jc w:val="left"/>
              <w:rPr>
                <w:sz w:val="20"/>
              </w:rPr>
            </w:pPr>
            <w:r w:rsidRPr="00ED3E99">
              <w:rPr>
                <w:sz w:val="20"/>
              </w:rPr>
              <w:t>Year 8 PP:  22%    Non-PP: 17%</w:t>
            </w:r>
          </w:p>
          <w:p w14:paraId="6502A914" w14:textId="42E1D362" w:rsidR="00ED3E99" w:rsidRPr="00ED3E99" w:rsidRDefault="00ED3E99" w:rsidP="00ED3E99">
            <w:pPr>
              <w:pStyle w:val="TableRowCentered"/>
              <w:jc w:val="left"/>
              <w:rPr>
                <w:sz w:val="20"/>
              </w:rPr>
            </w:pPr>
            <w:r w:rsidRPr="00ED3E99">
              <w:rPr>
                <w:sz w:val="20"/>
              </w:rPr>
              <w:t>Year 9 PP:  48%    Non-PP: 19%</w:t>
            </w:r>
          </w:p>
          <w:p w14:paraId="2A7D54F4" w14:textId="6BF80D95" w:rsidR="00466EBD" w:rsidRDefault="00466EBD">
            <w:pPr>
              <w:pStyle w:val="TableRowCentered"/>
              <w:jc w:val="left"/>
              <w:rPr>
                <w:sz w:val="22"/>
                <w:szCs w:val="22"/>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F547" w14:textId="77777777" w:rsidR="00E66558" w:rsidRPr="009221CA" w:rsidRDefault="003E4686">
            <w:pPr>
              <w:pStyle w:val="TableRowCentered"/>
              <w:jc w:val="left"/>
              <w:rPr>
                <w:szCs w:val="24"/>
              </w:rPr>
            </w:pPr>
            <w:r w:rsidRPr="009221CA">
              <w:rPr>
                <w:szCs w:val="24"/>
              </w:rPr>
              <w:t xml:space="preserve">Social and emotional issues and mental health </w:t>
            </w:r>
          </w:p>
          <w:p w14:paraId="61551376" w14:textId="61873218" w:rsidR="00ED3E99" w:rsidRDefault="00ED3E99">
            <w:pPr>
              <w:pStyle w:val="TableRowCentered"/>
              <w:jc w:val="left"/>
              <w:rPr>
                <w:sz w:val="20"/>
              </w:rPr>
            </w:pPr>
            <w:r w:rsidRPr="00ED3E99">
              <w:rPr>
                <w:sz w:val="20"/>
              </w:rPr>
              <w:t>Our assessments, discussions and observations show that our disadvantaged</w:t>
            </w:r>
            <w:r>
              <w:rPr>
                <w:sz w:val="20"/>
              </w:rPr>
              <w:t xml:space="preserve"> students are at disproportionate risk of a range of issues around mental health, anxiety and relationships.  Our disadvantaged students, on average, receive fewer rewards and experience a greater frequency of sanctions for poor conduct compared to their peers.  </w:t>
            </w:r>
          </w:p>
          <w:p w14:paraId="2BC74BFA" w14:textId="77777777" w:rsidR="00720661" w:rsidRDefault="006B4A0C">
            <w:pPr>
              <w:pStyle w:val="TableRowCentered"/>
              <w:jc w:val="left"/>
              <w:rPr>
                <w:sz w:val="20"/>
              </w:rPr>
            </w:pPr>
            <w:r w:rsidRPr="006B4A0C">
              <w:rPr>
                <w:sz w:val="20"/>
              </w:rPr>
              <w:t xml:space="preserve">In 2024) </w:t>
            </w:r>
          </w:p>
          <w:p w14:paraId="692C2ED3" w14:textId="77777777" w:rsidR="00720661" w:rsidRDefault="00720661">
            <w:pPr>
              <w:pStyle w:val="TableRowCentered"/>
              <w:jc w:val="left"/>
              <w:rPr>
                <w:sz w:val="20"/>
              </w:rPr>
            </w:pPr>
          </w:p>
          <w:p w14:paraId="550ACC0B" w14:textId="7C1D9B43" w:rsidR="00767BF2" w:rsidRDefault="006D0F3C">
            <w:pPr>
              <w:pStyle w:val="TableRowCentered"/>
              <w:jc w:val="left"/>
              <w:rPr>
                <w:sz w:val="20"/>
              </w:rPr>
            </w:pPr>
            <w:r>
              <w:rPr>
                <w:sz w:val="20"/>
              </w:rPr>
              <w:t>Suspension data: Year to Date AUTUMN 24</w:t>
            </w:r>
          </w:p>
          <w:p w14:paraId="4F683550" w14:textId="4B994010" w:rsidR="006D0F3C" w:rsidRDefault="006D0F3C">
            <w:pPr>
              <w:pStyle w:val="TableRowCentered"/>
              <w:jc w:val="left"/>
              <w:rPr>
                <w:sz w:val="20"/>
              </w:rPr>
            </w:pPr>
            <w:r w:rsidRPr="006D0F3C">
              <w:rPr>
                <w:sz w:val="20"/>
              </w:rPr>
              <w:drawing>
                <wp:inline distT="0" distB="0" distL="0" distR="0" wp14:anchorId="513B8725" wp14:editId="73BC6E68">
                  <wp:extent cx="6029960" cy="1068070"/>
                  <wp:effectExtent l="0" t="0" r="8890" b="0"/>
                  <wp:docPr id="1409700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00871" name=""/>
                          <pic:cNvPicPr/>
                        </pic:nvPicPr>
                        <pic:blipFill>
                          <a:blip r:embed="rId7"/>
                          <a:stretch>
                            <a:fillRect/>
                          </a:stretch>
                        </pic:blipFill>
                        <pic:spPr>
                          <a:xfrm>
                            <a:off x="0" y="0"/>
                            <a:ext cx="6029960" cy="1068070"/>
                          </a:xfrm>
                          <a:prstGeom prst="rect">
                            <a:avLst/>
                          </a:prstGeom>
                        </pic:spPr>
                      </pic:pic>
                    </a:graphicData>
                  </a:graphic>
                </wp:inline>
              </w:drawing>
            </w:r>
          </w:p>
          <w:p w14:paraId="5AC553E5" w14:textId="77777777" w:rsidR="00767BF2" w:rsidRDefault="00767BF2">
            <w:pPr>
              <w:pStyle w:val="TableRowCentered"/>
              <w:jc w:val="left"/>
              <w:rPr>
                <w:sz w:val="20"/>
              </w:rPr>
            </w:pPr>
          </w:p>
          <w:p w14:paraId="2A7D54F7" w14:textId="79FA58A2" w:rsidR="00466EBD" w:rsidRDefault="00466EBD" w:rsidP="00401136">
            <w:pPr>
              <w:pStyle w:val="TableRowCentered"/>
              <w:ind w:left="0"/>
              <w:jc w:val="left"/>
              <w:rPr>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8D26F" w14:textId="44983377" w:rsidR="004F5164" w:rsidRPr="009221CA" w:rsidRDefault="00063908" w:rsidP="004F5164">
            <w:pPr>
              <w:pStyle w:val="TableRowCentered"/>
              <w:jc w:val="left"/>
              <w:rPr>
                <w:iCs/>
                <w:szCs w:val="22"/>
              </w:rPr>
            </w:pPr>
            <w:r>
              <w:rPr>
                <w:iCs/>
                <w:szCs w:val="22"/>
              </w:rPr>
              <w:t>Achievement</w:t>
            </w:r>
          </w:p>
          <w:p w14:paraId="4A068174" w14:textId="77777777" w:rsidR="00974449" w:rsidRDefault="00C41CFA" w:rsidP="004F5164">
            <w:pPr>
              <w:pStyle w:val="TableRowCentered"/>
              <w:jc w:val="left"/>
              <w:rPr>
                <w:iCs/>
                <w:sz w:val="20"/>
              </w:rPr>
            </w:pPr>
            <w:r w:rsidRPr="00C41CFA">
              <w:rPr>
                <w:iCs/>
                <w:sz w:val="20"/>
              </w:rPr>
              <w:drawing>
                <wp:inline distT="0" distB="0" distL="0" distR="0" wp14:anchorId="295636C8" wp14:editId="01477B99">
                  <wp:extent cx="4972685" cy="1790921"/>
                  <wp:effectExtent l="0" t="0" r="0" b="0"/>
                  <wp:docPr id="1757682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82010" name=""/>
                          <pic:cNvPicPr/>
                        </pic:nvPicPr>
                        <pic:blipFill>
                          <a:blip r:embed="rId8"/>
                          <a:stretch>
                            <a:fillRect/>
                          </a:stretch>
                        </pic:blipFill>
                        <pic:spPr>
                          <a:xfrm>
                            <a:off x="0" y="0"/>
                            <a:ext cx="4987406" cy="1796223"/>
                          </a:xfrm>
                          <a:prstGeom prst="rect">
                            <a:avLst/>
                          </a:prstGeom>
                        </pic:spPr>
                      </pic:pic>
                    </a:graphicData>
                  </a:graphic>
                </wp:inline>
              </w:drawing>
            </w:r>
            <w:r w:rsidR="009221CA" w:rsidRPr="009221CA">
              <w:rPr>
                <w:iCs/>
                <w:sz w:val="20"/>
              </w:rPr>
              <w:t xml:space="preserve"> </w:t>
            </w:r>
          </w:p>
          <w:p w14:paraId="1E1B6D64" w14:textId="413FFA1C" w:rsidR="00C41CFA" w:rsidRDefault="00FF3C54" w:rsidP="004F5164">
            <w:pPr>
              <w:pStyle w:val="TableRowCentered"/>
              <w:jc w:val="left"/>
              <w:rPr>
                <w:iCs/>
                <w:sz w:val="22"/>
              </w:rPr>
            </w:pPr>
            <w:r>
              <w:rPr>
                <w:iCs/>
                <w:sz w:val="22"/>
              </w:rPr>
              <w:t xml:space="preserve">The link to attendance is clear from the results </w:t>
            </w:r>
            <w:r w:rsidR="00397BD0">
              <w:rPr>
                <w:iCs/>
                <w:sz w:val="22"/>
              </w:rPr>
              <w:t xml:space="preserve">from Summer 24. Strong attendance led to </w:t>
            </w:r>
            <w:r w:rsidR="00702AE0">
              <w:rPr>
                <w:iCs/>
                <w:sz w:val="22"/>
              </w:rPr>
              <w:t xml:space="preserve">better attainment and the </w:t>
            </w:r>
            <w:r w:rsidR="00DA2AA1">
              <w:rPr>
                <w:iCs/>
                <w:sz w:val="22"/>
              </w:rPr>
              <w:t xml:space="preserve">correlation </w:t>
            </w:r>
            <w:r w:rsidR="00702AE0">
              <w:rPr>
                <w:iCs/>
                <w:sz w:val="22"/>
              </w:rPr>
              <w:t xml:space="preserve">between poor </w:t>
            </w:r>
            <w:r w:rsidR="00DA2AA1">
              <w:rPr>
                <w:iCs/>
                <w:sz w:val="22"/>
              </w:rPr>
              <w:t>attendance</w:t>
            </w:r>
            <w:r w:rsidR="00702AE0">
              <w:rPr>
                <w:iCs/>
                <w:sz w:val="22"/>
              </w:rPr>
              <w:t xml:space="preserve"> and our PP </w:t>
            </w:r>
            <w:r w:rsidR="00DA2AA1">
              <w:rPr>
                <w:iCs/>
                <w:sz w:val="22"/>
              </w:rPr>
              <w:t>students</w:t>
            </w:r>
            <w:r w:rsidR="00702AE0">
              <w:rPr>
                <w:iCs/>
                <w:sz w:val="22"/>
              </w:rPr>
              <w:t xml:space="preserve"> is great. The strate</w:t>
            </w:r>
            <w:r w:rsidR="00E44AFC">
              <w:rPr>
                <w:iCs/>
                <w:sz w:val="22"/>
              </w:rPr>
              <w:t>g</w:t>
            </w:r>
            <w:r w:rsidR="00702AE0">
              <w:rPr>
                <w:iCs/>
                <w:sz w:val="22"/>
              </w:rPr>
              <w:t xml:space="preserve">y must focus on </w:t>
            </w:r>
            <w:r w:rsidR="00E44AFC">
              <w:rPr>
                <w:iCs/>
                <w:sz w:val="22"/>
              </w:rPr>
              <w:t xml:space="preserve">student attendance at school and then the targeted intervention of those students assessed to be in need of further support. Greater attendance of all </w:t>
            </w:r>
            <w:r w:rsidR="00DA2AA1">
              <w:rPr>
                <w:iCs/>
                <w:sz w:val="22"/>
              </w:rPr>
              <w:t>students</w:t>
            </w:r>
            <w:r w:rsidR="00E44AFC">
              <w:rPr>
                <w:iCs/>
                <w:sz w:val="22"/>
              </w:rPr>
              <w:t xml:space="preserve"> ensures that </w:t>
            </w:r>
            <w:r w:rsidR="00244335">
              <w:rPr>
                <w:iCs/>
                <w:sz w:val="22"/>
              </w:rPr>
              <w:t xml:space="preserve">any </w:t>
            </w:r>
            <w:r w:rsidR="00E44AFC">
              <w:rPr>
                <w:iCs/>
                <w:sz w:val="22"/>
              </w:rPr>
              <w:t xml:space="preserve">need is identified and </w:t>
            </w:r>
            <w:r w:rsidR="00DA2AA1">
              <w:rPr>
                <w:iCs/>
                <w:sz w:val="22"/>
              </w:rPr>
              <w:t>acted upon at an early stage to ensure the best outcomes for all students.</w:t>
            </w:r>
          </w:p>
          <w:p w14:paraId="79CBA149" w14:textId="77777777" w:rsidR="00C41CFA" w:rsidRDefault="00B92EF1" w:rsidP="004F5164">
            <w:pPr>
              <w:pStyle w:val="TableRowCentered"/>
              <w:jc w:val="left"/>
              <w:rPr>
                <w:iCs/>
                <w:sz w:val="22"/>
              </w:rPr>
            </w:pPr>
            <w:r w:rsidRPr="00B92EF1">
              <w:rPr>
                <w:iCs/>
                <w:sz w:val="22"/>
              </w:rPr>
              <w:lastRenderedPageBreak/>
              <w:drawing>
                <wp:inline distT="0" distB="0" distL="0" distR="0" wp14:anchorId="4E658623" wp14:editId="01508EE8">
                  <wp:extent cx="5039360" cy="707930"/>
                  <wp:effectExtent l="0" t="0" r="0" b="0"/>
                  <wp:docPr id="593577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77601" name=""/>
                          <pic:cNvPicPr/>
                        </pic:nvPicPr>
                        <pic:blipFill>
                          <a:blip r:embed="rId9"/>
                          <a:stretch>
                            <a:fillRect/>
                          </a:stretch>
                        </pic:blipFill>
                        <pic:spPr>
                          <a:xfrm>
                            <a:off x="0" y="0"/>
                            <a:ext cx="5129356" cy="720573"/>
                          </a:xfrm>
                          <a:prstGeom prst="rect">
                            <a:avLst/>
                          </a:prstGeom>
                        </pic:spPr>
                      </pic:pic>
                    </a:graphicData>
                  </a:graphic>
                </wp:inline>
              </w:drawing>
            </w:r>
          </w:p>
          <w:p w14:paraId="14A5462A" w14:textId="77777777" w:rsidR="00B92EF1" w:rsidRDefault="00B92EF1" w:rsidP="004F5164">
            <w:pPr>
              <w:pStyle w:val="TableRowCentered"/>
              <w:jc w:val="left"/>
              <w:rPr>
                <w:iCs/>
                <w:sz w:val="22"/>
              </w:rPr>
            </w:pPr>
          </w:p>
          <w:p w14:paraId="393D8290" w14:textId="72C41562" w:rsidR="00B92EF1" w:rsidRDefault="00842D24" w:rsidP="004F5164">
            <w:pPr>
              <w:pStyle w:val="TableRowCentered"/>
              <w:jc w:val="left"/>
              <w:rPr>
                <w:iCs/>
                <w:sz w:val="22"/>
              </w:rPr>
            </w:pPr>
            <w:r>
              <w:rPr>
                <w:iCs/>
                <w:sz w:val="22"/>
              </w:rPr>
              <w:t xml:space="preserve">As shown above, the results from Summer 2024 GCSE </w:t>
            </w:r>
            <w:r w:rsidR="00BC4EDC">
              <w:rPr>
                <w:iCs/>
                <w:sz w:val="22"/>
              </w:rPr>
              <w:t>show less than 50% of PP year 11 students achieved a 4 in English AND Maths</w:t>
            </w:r>
            <w:r w:rsidR="00A34867">
              <w:rPr>
                <w:iCs/>
                <w:sz w:val="22"/>
              </w:rPr>
              <w:t xml:space="preserve">. Maths </w:t>
            </w:r>
            <w:r w:rsidR="005E5558">
              <w:rPr>
                <w:iCs/>
                <w:sz w:val="22"/>
              </w:rPr>
              <w:t>have a larger proportion of children achieving a 4 with 54% over English with 51%. Greater focus must go into students hitting one of Maths and English but missing the other.</w:t>
            </w:r>
          </w:p>
          <w:p w14:paraId="2A7D54FA" w14:textId="178E6FD9" w:rsidR="00B92EF1" w:rsidRDefault="00B92EF1" w:rsidP="004F5164">
            <w:pPr>
              <w:pStyle w:val="TableRowCentered"/>
              <w:jc w:val="left"/>
              <w:rPr>
                <w:iCs/>
                <w:sz w:val="22"/>
              </w:rPr>
            </w:pPr>
          </w:p>
        </w:tc>
      </w:tr>
    </w:tbl>
    <w:p w14:paraId="2A7D54FF" w14:textId="77777777" w:rsidR="00E66558" w:rsidRDefault="009D71E8">
      <w:pPr>
        <w:pStyle w:val="Heading2"/>
        <w:spacing w:before="600"/>
      </w:pPr>
      <w:bookmarkStart w:id="16" w:name="_Toc443397160"/>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CCE9D45" w:rsidR="00E66558" w:rsidRPr="009221CA" w:rsidRDefault="009221CA">
            <w:pPr>
              <w:pStyle w:val="TableRow"/>
            </w:pPr>
            <w:r>
              <w:rPr>
                <w:sz w:val="22"/>
                <w:szCs w:val="22"/>
              </w:rPr>
              <w:t>Improve the attendance of disadvantaged students through a school-wide coordinated approac</w:t>
            </w:r>
            <w:r w:rsidR="00040F6B">
              <w:rPr>
                <w:sz w:val="22"/>
                <w:szCs w:val="22"/>
              </w:rPr>
              <w:t>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1EA63B8" w:rsidR="009221CA" w:rsidRDefault="009221CA" w:rsidP="00040F6B">
            <w:pPr>
              <w:pStyle w:val="TableRowCentered"/>
              <w:jc w:val="left"/>
              <w:rPr>
                <w:sz w:val="22"/>
                <w:szCs w:val="22"/>
              </w:rPr>
            </w:pPr>
            <w:r>
              <w:rPr>
                <w:sz w:val="22"/>
                <w:szCs w:val="22"/>
              </w:rPr>
              <w:t xml:space="preserve">Reduce the gap in attendance between </w:t>
            </w:r>
            <w:r w:rsidR="00BD00B8">
              <w:rPr>
                <w:sz w:val="22"/>
                <w:szCs w:val="22"/>
              </w:rPr>
              <w:t>disadvantaged</w:t>
            </w:r>
            <w:r>
              <w:rPr>
                <w:sz w:val="22"/>
                <w:szCs w:val="22"/>
              </w:rPr>
              <w:t xml:space="preserve"> and </w:t>
            </w:r>
            <w:r w:rsidR="00BD00B8">
              <w:rPr>
                <w:sz w:val="22"/>
                <w:szCs w:val="22"/>
              </w:rPr>
              <w:t>wider cohort</w:t>
            </w:r>
            <w:r>
              <w:rPr>
                <w:sz w:val="22"/>
                <w:szCs w:val="22"/>
              </w:rPr>
              <w:t xml:space="preserve"> year on year.  </w:t>
            </w:r>
            <w:r w:rsidR="00040F6B">
              <w:rPr>
                <w:sz w:val="22"/>
                <w:szCs w:val="22"/>
              </w:rPr>
              <w:t xml:space="preserve">Persistent absence of </w:t>
            </w:r>
            <w:r w:rsidR="00BD00B8">
              <w:rPr>
                <w:sz w:val="22"/>
                <w:szCs w:val="22"/>
              </w:rPr>
              <w:t>disadvantaged</w:t>
            </w:r>
            <w:r w:rsidR="00040F6B">
              <w:rPr>
                <w:sz w:val="22"/>
                <w:szCs w:val="22"/>
              </w:rPr>
              <w:t xml:space="preserve"> students to reduce by 20% year on year.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7E9CC10" w:rsidR="00E66558" w:rsidRDefault="009221CA">
            <w:pPr>
              <w:pStyle w:val="TableRow"/>
              <w:rPr>
                <w:sz w:val="22"/>
                <w:szCs w:val="22"/>
              </w:rPr>
            </w:pPr>
            <w:r>
              <w:rPr>
                <w:sz w:val="22"/>
                <w:szCs w:val="22"/>
              </w:rPr>
              <w:t xml:space="preserve">Improve the accuracy and fluency with which </w:t>
            </w:r>
            <w:r w:rsidR="00BD00B8">
              <w:rPr>
                <w:sz w:val="22"/>
                <w:szCs w:val="22"/>
              </w:rPr>
              <w:t>disadvantaged</w:t>
            </w:r>
            <w:r>
              <w:rPr>
                <w:sz w:val="22"/>
                <w:szCs w:val="22"/>
              </w:rPr>
              <w:t xml:space="preserve"> students read</w:t>
            </w:r>
            <w:r w:rsidR="00040F6B">
              <w:rPr>
                <w:sz w:val="22"/>
                <w:szCs w:val="22"/>
              </w:rPr>
              <w:t>.</w:t>
            </w:r>
            <w:r>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FDA871E" w:rsidR="00E66558" w:rsidRDefault="009221CA">
            <w:pPr>
              <w:pStyle w:val="TableRowCentered"/>
              <w:jc w:val="left"/>
              <w:rPr>
                <w:sz w:val="22"/>
                <w:szCs w:val="22"/>
              </w:rPr>
            </w:pPr>
            <w:r>
              <w:rPr>
                <w:sz w:val="22"/>
                <w:szCs w:val="22"/>
              </w:rPr>
              <w:t xml:space="preserve">Proportion of students in years 7 and 8 with an SAS below 90 to halve year on year. </w:t>
            </w:r>
            <w:r w:rsidR="00F34A47">
              <w:rPr>
                <w:sz w:val="22"/>
                <w:szCs w:val="22"/>
              </w:rPr>
              <w:t>All cohort to make greater gains in reading age than their increase in chronological age.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357FAAF" w:rsidR="00E66558" w:rsidRDefault="009221CA">
            <w:pPr>
              <w:pStyle w:val="TableRow"/>
              <w:rPr>
                <w:sz w:val="22"/>
                <w:szCs w:val="22"/>
              </w:rPr>
            </w:pPr>
            <w:r>
              <w:rPr>
                <w:sz w:val="22"/>
                <w:szCs w:val="22"/>
              </w:rPr>
              <w:t xml:space="preserve">Improve disadvantaged students’ wellbeing and behaviour through enhanced pastoral support and self-regulation.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5873" w14:textId="7B140BF7" w:rsidR="00F34A47" w:rsidRDefault="00F34A47">
            <w:pPr>
              <w:pStyle w:val="TableRowCentered"/>
              <w:jc w:val="left"/>
            </w:pPr>
            <w:r>
              <w:t>Student, parent and teacher voice will indicate reduced incidents of students requiring coregulation and adult support. Academic resilience will be evident, and students will be able to talk about strategies they employ to self-manage their worries and feelings.</w:t>
            </w:r>
          </w:p>
          <w:p w14:paraId="2A7D550B" w14:textId="7D83ED0C" w:rsidR="00E66558" w:rsidRPr="00040F6B" w:rsidRDefault="00F34A47" w:rsidP="00040F6B">
            <w:pPr>
              <w:pStyle w:val="TableRowCentered"/>
              <w:jc w:val="left"/>
            </w:pPr>
            <w:r>
              <w:t xml:space="preserve">Target fixed term exclusion rate to be below 10% for PP students.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241080E" w:rsidR="00E66558" w:rsidRDefault="00BD00B8">
            <w:pPr>
              <w:pStyle w:val="TableRow"/>
              <w:rPr>
                <w:sz w:val="22"/>
                <w:szCs w:val="22"/>
              </w:rPr>
            </w:pPr>
            <w:r>
              <w:rPr>
                <w:sz w:val="22"/>
                <w:szCs w:val="22"/>
              </w:rPr>
              <w:t>Disadvantaged s</w:t>
            </w:r>
            <w:r w:rsidR="00040F6B">
              <w:rPr>
                <w:sz w:val="22"/>
                <w:szCs w:val="22"/>
              </w:rPr>
              <w:t xml:space="preserve">tudents to </w:t>
            </w:r>
            <w:r>
              <w:rPr>
                <w:sz w:val="22"/>
                <w:szCs w:val="22"/>
              </w:rPr>
              <w:t xml:space="preserve">make good progress across the curriculum.  </w:t>
            </w:r>
            <w:r w:rsidR="00040F6B">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9C28" w14:textId="6B7474F7" w:rsidR="00BD00B8" w:rsidRDefault="00BD00B8" w:rsidP="00BD00B8">
            <w:pPr>
              <w:pStyle w:val="TableRowCentered"/>
              <w:jc w:val="left"/>
              <w:rPr>
                <w:sz w:val="22"/>
                <w:szCs w:val="22"/>
              </w:rPr>
            </w:pPr>
            <w:r>
              <w:rPr>
                <w:sz w:val="22"/>
                <w:szCs w:val="22"/>
              </w:rPr>
              <w:t xml:space="preserve">Assessment and tracking data at KS3 shows gaps between disadvantaged students and wider cohort narrowing over time.  </w:t>
            </w:r>
          </w:p>
          <w:p w14:paraId="2A7D550E" w14:textId="29C81ECB" w:rsidR="00BD00B8" w:rsidRDefault="00BD00B8" w:rsidP="00BD00B8">
            <w:pPr>
              <w:pStyle w:val="TableRowCentered"/>
              <w:jc w:val="left"/>
              <w:rPr>
                <w:sz w:val="22"/>
                <w:szCs w:val="22"/>
              </w:rPr>
            </w:pPr>
            <w:r>
              <w:rPr>
                <w:sz w:val="22"/>
                <w:szCs w:val="22"/>
              </w:rPr>
              <w:t xml:space="preserve">In Year 11, disadvantaged cohort to achieve in line with national averages.  </w:t>
            </w:r>
          </w:p>
        </w:tc>
      </w:tr>
    </w:tbl>
    <w:p w14:paraId="2A7D5512" w14:textId="377A0023"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lastRenderedPageBreak/>
        <w:t>Teaching (for example, CPD, recruitment and retention)</w:t>
      </w:r>
    </w:p>
    <w:p w14:paraId="2A7D5515" w14:textId="7A1C5C6B" w:rsidR="00E66558" w:rsidRDefault="009D71E8">
      <w:r>
        <w:t xml:space="preserve">Budgeted cost: £ </w:t>
      </w:r>
      <w:r w:rsidR="001E7E36">
        <w:rPr>
          <w:i/>
          <w:iCs/>
        </w:rPr>
        <w:t>60</w:t>
      </w:r>
      <w:r w:rsidR="00F34A47">
        <w:rPr>
          <w:i/>
          <w:iCs/>
        </w:rPr>
        <w:t>,000</w:t>
      </w:r>
      <w:r>
        <w:rPr>
          <w:i/>
          <w:iCs/>
        </w:rPr>
        <w:t>]</w:t>
      </w:r>
    </w:p>
    <w:tbl>
      <w:tblPr>
        <w:tblW w:w="5000" w:type="pct"/>
        <w:tblCellMar>
          <w:left w:w="10" w:type="dxa"/>
          <w:right w:w="10" w:type="dxa"/>
        </w:tblCellMar>
        <w:tblLook w:val="04A0" w:firstRow="1" w:lastRow="0" w:firstColumn="1" w:lastColumn="0" w:noHBand="0" w:noVBand="1"/>
      </w:tblPr>
      <w:tblGrid>
        <w:gridCol w:w="2017"/>
        <w:gridCol w:w="5871"/>
        <w:gridCol w:w="1598"/>
      </w:tblGrid>
      <w:tr w:rsidR="00E66558" w14:paraId="2A7D5519" w14:textId="77777777" w:rsidTr="00B24E90">
        <w:tc>
          <w:tcPr>
            <w:tcW w:w="325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45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78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775E26" w14:paraId="2AEFD578" w14:textId="77777777" w:rsidTr="00B24E9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537F1" w14:textId="5815A925" w:rsidR="00775E26" w:rsidRDefault="00775E26" w:rsidP="00B24E90">
            <w:pPr>
              <w:pStyle w:val="TableRow"/>
            </w:pP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F0F7" w14:textId="77777777" w:rsidR="00775E26" w:rsidRDefault="00775E26">
            <w:pPr>
              <w:pStyle w:val="TableRowCentered"/>
              <w:jc w:val="left"/>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1A76" w14:textId="77777777" w:rsidR="00775E26" w:rsidRDefault="00775E26">
            <w:pPr>
              <w:pStyle w:val="TableRowCentered"/>
              <w:jc w:val="left"/>
              <w:rPr>
                <w:sz w:val="22"/>
              </w:rPr>
            </w:pPr>
          </w:p>
        </w:tc>
      </w:tr>
      <w:tr w:rsidR="00E66558" w14:paraId="2A7D551D" w14:textId="77777777" w:rsidTr="00B24E9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8C6DBBA" w:rsidR="00B24E90" w:rsidRDefault="00B24E90" w:rsidP="00B24E90">
            <w:pPr>
              <w:pStyle w:val="TableRow"/>
            </w:pPr>
            <w:r>
              <w:t>Provide a wide-ranging CPD offer for all staff including trauma a</w:t>
            </w:r>
            <w:r w:rsidR="00057A39">
              <w:t>wareness and improving our universal offer</w:t>
            </w:r>
            <w:r w:rsidR="001A1106">
              <w:t xml:space="preserve"> (beneficial to all but vital to some)</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0603C" w14:textId="525CD39D" w:rsidR="00B24E90" w:rsidRDefault="00000000">
            <w:pPr>
              <w:pStyle w:val="TableRowCentered"/>
              <w:jc w:val="left"/>
              <w:rPr>
                <w:sz w:val="22"/>
              </w:rPr>
            </w:pPr>
            <w:hyperlink r:id="rId10" w:history="1">
              <w:r w:rsidR="00B24E90" w:rsidRPr="00F27B24">
                <w:rPr>
                  <w:rStyle w:val="Hyperlink"/>
                  <w:sz w:val="22"/>
                </w:rPr>
                <w:t>https://educationendowmentfoundation.org.uk/education-evidence/guidance-reports/behaviour</w:t>
              </w:r>
            </w:hyperlink>
            <w:r w:rsidR="00B24E90">
              <w:rPr>
                <w:sz w:val="22"/>
              </w:rPr>
              <w:t xml:space="preserve"> </w:t>
            </w:r>
          </w:p>
          <w:p w14:paraId="26F7200E" w14:textId="77777777" w:rsidR="00B24E90" w:rsidRDefault="00B24E90">
            <w:pPr>
              <w:pStyle w:val="TableRowCentered"/>
              <w:jc w:val="left"/>
              <w:rPr>
                <w:sz w:val="22"/>
              </w:rPr>
            </w:pPr>
          </w:p>
          <w:p w14:paraId="47C138F4" w14:textId="1013D731" w:rsidR="00B24E90" w:rsidRDefault="00000000">
            <w:pPr>
              <w:pStyle w:val="TableRowCentered"/>
              <w:jc w:val="left"/>
              <w:rPr>
                <w:sz w:val="22"/>
              </w:rPr>
            </w:pPr>
            <w:hyperlink r:id="rId11" w:history="1">
              <w:r w:rsidR="00B24E90" w:rsidRPr="00F27B24">
                <w:rPr>
                  <w:rStyle w:val="Hyperlink"/>
                  <w:sz w:val="22"/>
                </w:rPr>
                <w:t>https://educationendowmentfoundation.org.uk/education-evidence/guidance-reports/effective-professional-development</w:t>
              </w:r>
            </w:hyperlink>
          </w:p>
          <w:p w14:paraId="2A7D551B" w14:textId="379E161D" w:rsidR="00B24E90" w:rsidRDefault="00B24E90">
            <w:pPr>
              <w:pStyle w:val="TableRowCentered"/>
              <w:jc w:val="left"/>
              <w:rPr>
                <w:sz w:val="22"/>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9E3B4AB" w:rsidR="00E66558" w:rsidRDefault="00B24E90">
            <w:pPr>
              <w:pStyle w:val="TableRowCentered"/>
              <w:jc w:val="left"/>
              <w:rPr>
                <w:sz w:val="22"/>
              </w:rPr>
            </w:pPr>
            <w:r>
              <w:rPr>
                <w:sz w:val="22"/>
              </w:rPr>
              <w:t>1,2,3,4</w:t>
            </w:r>
          </w:p>
        </w:tc>
      </w:tr>
      <w:tr w:rsidR="00B24E90" w14:paraId="2ED58EB4" w14:textId="77777777" w:rsidTr="00B24E9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75A03" w14:textId="0CA2DEBB" w:rsidR="00B24E90" w:rsidRDefault="00B24E90" w:rsidP="00B24E90">
            <w:pPr>
              <w:pStyle w:val="TableRow"/>
            </w:pPr>
            <w:r>
              <w:t>Providing resources and training to introduce develop and embed the tutor time reading programme</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F6172" w14:textId="77777777" w:rsidR="00B24E90" w:rsidRDefault="00000000" w:rsidP="00B24E90">
            <w:pPr>
              <w:pStyle w:val="TableRowCentered"/>
              <w:jc w:val="left"/>
              <w:rPr>
                <w:sz w:val="22"/>
              </w:rPr>
            </w:pPr>
            <w:hyperlink r:id="rId12" w:history="1">
              <w:r w:rsidR="00B24E90" w:rsidRPr="00F27B24">
                <w:rPr>
                  <w:rStyle w:val="Hyperlink"/>
                  <w:sz w:val="22"/>
                </w:rPr>
                <w:t>https://educationendowmentfoundation.org.uk/education-evidence/teaching-learning-toolkit/reading-comprehension-strategies</w:t>
              </w:r>
            </w:hyperlink>
          </w:p>
          <w:p w14:paraId="15224D0B" w14:textId="77777777" w:rsidR="00B24E90" w:rsidRDefault="00B24E90">
            <w:pPr>
              <w:pStyle w:val="TableRowCentered"/>
              <w:jc w:val="left"/>
              <w:rPr>
                <w:sz w:val="22"/>
              </w:rPr>
            </w:pPr>
          </w:p>
          <w:p w14:paraId="0094EF33" w14:textId="0FB24D69" w:rsidR="00B24E90" w:rsidRDefault="00B24E90">
            <w:pPr>
              <w:pStyle w:val="TableRowCentered"/>
              <w:jc w:val="left"/>
              <w:rPr>
                <w:sz w:val="22"/>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91D4A" w14:textId="67E06348" w:rsidR="00B24E90" w:rsidRDefault="00B24E90">
            <w:pPr>
              <w:pStyle w:val="TableRowCentered"/>
              <w:jc w:val="left"/>
              <w:rPr>
                <w:sz w:val="22"/>
              </w:rPr>
            </w:pPr>
            <w:r>
              <w:rPr>
                <w:sz w:val="22"/>
              </w:rPr>
              <w:t>2,4</w:t>
            </w:r>
          </w:p>
        </w:tc>
      </w:tr>
      <w:tr w:rsidR="00E66558" w14:paraId="2A7D5521" w14:textId="77777777" w:rsidTr="00B24E9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0F06156" w:rsidR="00E66558" w:rsidRPr="00B24E90" w:rsidRDefault="00B24E90">
            <w:pPr>
              <w:pStyle w:val="TableRow"/>
              <w:rPr>
                <w:iCs/>
                <w:sz w:val="22"/>
              </w:rPr>
            </w:pPr>
            <w:r>
              <w:rPr>
                <w:iCs/>
                <w:sz w:val="22"/>
              </w:rPr>
              <w:t>School-wide instructional coaching programme and subscription to online platform</w:t>
            </w:r>
            <w:r w:rsidR="00B066DA">
              <w:rPr>
                <w:iCs/>
                <w:sz w:val="22"/>
              </w:rPr>
              <w:t>s to facilitate sharing of best practice</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09023ECF" w:rsidR="00E66558" w:rsidRDefault="00000000">
            <w:pPr>
              <w:pStyle w:val="TableRowCentered"/>
              <w:jc w:val="left"/>
              <w:rPr>
                <w:sz w:val="22"/>
              </w:rPr>
            </w:pPr>
            <w:hyperlink r:id="rId13" w:history="1">
              <w:r w:rsidR="00B24E90" w:rsidRPr="00F27B24">
                <w:rPr>
                  <w:rStyle w:val="Hyperlink"/>
                  <w:sz w:val="22"/>
                </w:rPr>
                <w:t>https://educationendowmentfoundation.org.uk/education-evidence/guidance-reports/effective-professional-development</w:t>
              </w:r>
            </w:hyperlink>
            <w:r w:rsidR="00B24E90">
              <w:rPr>
                <w:sz w:val="22"/>
              </w:rPr>
              <w:t xml:space="preserve">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7DAF613" w:rsidR="00E66558" w:rsidRDefault="00B24E90">
            <w:pPr>
              <w:pStyle w:val="TableRowCentered"/>
              <w:jc w:val="left"/>
              <w:rPr>
                <w:sz w:val="22"/>
              </w:rPr>
            </w:pPr>
            <w:r>
              <w:rPr>
                <w:sz w:val="22"/>
              </w:rPr>
              <w:t>1,2,3,4,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FCDBFD9" w:rsidR="00E66558" w:rsidRDefault="009D71E8">
      <w:r>
        <w:t xml:space="preserve">Budgeted cost: £ </w:t>
      </w:r>
      <w:r w:rsidR="001E7E36">
        <w:rPr>
          <w:i/>
          <w:iCs/>
        </w:rPr>
        <w:t>6</w:t>
      </w:r>
      <w:r w:rsidR="00F34A47">
        <w:rPr>
          <w:i/>
          <w:iCs/>
        </w:rPr>
        <w:t>0,000</w:t>
      </w:r>
    </w:p>
    <w:tbl>
      <w:tblPr>
        <w:tblW w:w="5000" w:type="pct"/>
        <w:tblCellMar>
          <w:left w:w="10" w:type="dxa"/>
          <w:right w:w="10" w:type="dxa"/>
        </w:tblCellMar>
        <w:tblLook w:val="04A0" w:firstRow="1" w:lastRow="0" w:firstColumn="1" w:lastColumn="0" w:noHBand="0" w:noVBand="1"/>
      </w:tblPr>
      <w:tblGrid>
        <w:gridCol w:w="2033"/>
        <w:gridCol w:w="5871"/>
        <w:gridCol w:w="1582"/>
      </w:tblGrid>
      <w:tr w:rsidR="006B43E7" w14:paraId="2A7D5528" w14:textId="77777777" w:rsidTr="006B43E7">
        <w:tc>
          <w:tcPr>
            <w:tcW w:w="353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18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76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6B43E7" w14:paraId="2A7D552C" w14:textId="77777777" w:rsidTr="006B43E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21CB4" w14:textId="2497C321" w:rsidR="00B24E90" w:rsidRPr="00B24E90" w:rsidRDefault="00B24E90" w:rsidP="00B24E90">
            <w:pPr>
              <w:pStyle w:val="TableRow"/>
              <w:rPr>
                <w:sz w:val="22"/>
                <w:szCs w:val="22"/>
              </w:rPr>
            </w:pPr>
            <w:r w:rsidRPr="00B24E90">
              <w:rPr>
                <w:sz w:val="22"/>
                <w:szCs w:val="22"/>
              </w:rPr>
              <w:t xml:space="preserve">Additional </w:t>
            </w:r>
            <w:r w:rsidR="006B43E7">
              <w:rPr>
                <w:sz w:val="22"/>
                <w:szCs w:val="22"/>
              </w:rPr>
              <w:t xml:space="preserve">pastoral support including </w:t>
            </w:r>
            <w:r w:rsidR="00B75C80">
              <w:rPr>
                <w:sz w:val="22"/>
                <w:szCs w:val="22"/>
              </w:rPr>
              <w:t>S</w:t>
            </w:r>
            <w:r w:rsidR="006B43E7">
              <w:rPr>
                <w:sz w:val="22"/>
                <w:szCs w:val="22"/>
              </w:rPr>
              <w:t xml:space="preserve">chool </w:t>
            </w:r>
            <w:r w:rsidR="00B75C80">
              <w:rPr>
                <w:sz w:val="22"/>
                <w:szCs w:val="22"/>
              </w:rPr>
              <w:lastRenderedPageBreak/>
              <w:t>C</w:t>
            </w:r>
            <w:r w:rsidR="006B43E7">
              <w:rPr>
                <w:sz w:val="22"/>
                <w:szCs w:val="22"/>
              </w:rPr>
              <w:t>ounsellor and additional I</w:t>
            </w:r>
            <w:r w:rsidRPr="00B24E90">
              <w:rPr>
                <w:sz w:val="22"/>
                <w:szCs w:val="22"/>
              </w:rPr>
              <w:t>nclusion</w:t>
            </w:r>
          </w:p>
          <w:p w14:paraId="37E3FA83" w14:textId="77777777" w:rsidR="00B24E90" w:rsidRPr="00B24E90" w:rsidRDefault="00B24E90" w:rsidP="00B24E90">
            <w:pPr>
              <w:pStyle w:val="TableRow"/>
              <w:rPr>
                <w:sz w:val="22"/>
                <w:szCs w:val="22"/>
              </w:rPr>
            </w:pPr>
            <w:r w:rsidRPr="00B24E90">
              <w:rPr>
                <w:sz w:val="22"/>
                <w:szCs w:val="22"/>
              </w:rPr>
              <w:t>Officer to provide</w:t>
            </w:r>
          </w:p>
          <w:p w14:paraId="400E3441" w14:textId="6A871E88" w:rsidR="00B24E90" w:rsidRPr="00B24E90" w:rsidRDefault="006B43E7" w:rsidP="00B24E90">
            <w:pPr>
              <w:pStyle w:val="TableRow"/>
              <w:rPr>
                <w:sz w:val="22"/>
                <w:szCs w:val="22"/>
              </w:rPr>
            </w:pPr>
            <w:r>
              <w:rPr>
                <w:sz w:val="22"/>
                <w:szCs w:val="22"/>
              </w:rPr>
              <w:t>enhanced</w:t>
            </w:r>
            <w:r w:rsidR="00B24E90" w:rsidRPr="00B24E90">
              <w:rPr>
                <w:sz w:val="22"/>
                <w:szCs w:val="22"/>
              </w:rPr>
              <w:t xml:space="preserve"> mentoring,</w:t>
            </w:r>
          </w:p>
          <w:p w14:paraId="7BF77215" w14:textId="77777777" w:rsidR="00B24E90" w:rsidRPr="00B24E90" w:rsidRDefault="00B24E90" w:rsidP="00B24E90">
            <w:pPr>
              <w:pStyle w:val="TableRow"/>
              <w:rPr>
                <w:sz w:val="22"/>
                <w:szCs w:val="22"/>
              </w:rPr>
            </w:pPr>
            <w:r w:rsidRPr="00B24E90">
              <w:rPr>
                <w:sz w:val="22"/>
                <w:szCs w:val="22"/>
              </w:rPr>
              <w:t>safeguarding and</w:t>
            </w:r>
          </w:p>
          <w:p w14:paraId="2A7D5529" w14:textId="5EE092FA" w:rsidR="00E66558" w:rsidRDefault="00B24E90" w:rsidP="00B24E90">
            <w:pPr>
              <w:pStyle w:val="TableRow"/>
            </w:pPr>
            <w:r w:rsidRPr="00B24E90">
              <w:rPr>
                <w:sz w:val="22"/>
                <w:szCs w:val="22"/>
              </w:rPr>
              <w:t>pastoral support</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28CC" w14:textId="77777777" w:rsidR="00E66558" w:rsidRDefault="00000000">
            <w:pPr>
              <w:pStyle w:val="TableRowCentered"/>
              <w:jc w:val="left"/>
              <w:rPr>
                <w:sz w:val="22"/>
              </w:rPr>
            </w:pPr>
            <w:hyperlink r:id="rId14" w:history="1">
              <w:r w:rsidR="00B24E90" w:rsidRPr="00F27B24">
                <w:rPr>
                  <w:rStyle w:val="Hyperlink"/>
                  <w:sz w:val="22"/>
                </w:rPr>
                <w:t>https://educationendowmentfoundation.org.uk/education-evidence/guidance-reports/behaviour</w:t>
              </w:r>
            </w:hyperlink>
            <w:r w:rsidR="00B24E90">
              <w:rPr>
                <w:sz w:val="22"/>
              </w:rPr>
              <w:t xml:space="preserve"> </w:t>
            </w:r>
          </w:p>
          <w:p w14:paraId="76E23D84" w14:textId="77777777" w:rsidR="006B43E7" w:rsidRDefault="006B43E7">
            <w:pPr>
              <w:pStyle w:val="TableRowCentered"/>
              <w:jc w:val="left"/>
              <w:rPr>
                <w:sz w:val="22"/>
              </w:rPr>
            </w:pPr>
          </w:p>
          <w:p w14:paraId="2A7D552A" w14:textId="3A1C0570" w:rsidR="006B43E7" w:rsidRDefault="00000000">
            <w:pPr>
              <w:pStyle w:val="TableRowCentered"/>
              <w:jc w:val="left"/>
              <w:rPr>
                <w:sz w:val="22"/>
              </w:rPr>
            </w:pPr>
            <w:hyperlink r:id="rId15" w:history="1">
              <w:r w:rsidR="006B43E7" w:rsidRPr="00F27B24">
                <w:rPr>
                  <w:rStyle w:val="Hyperlink"/>
                  <w:sz w:val="22"/>
                </w:rPr>
                <w:t>https://educationendowmentfoundation.org.uk/education-evidence/teaching-learning-toolkit/mentoring</w:t>
              </w:r>
            </w:hyperlink>
            <w:r w:rsidR="006B43E7">
              <w:rPr>
                <w:sz w:val="22"/>
              </w:rPr>
              <w:t xml:space="preserve">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C7E7972" w:rsidR="00E66558" w:rsidRDefault="00B24E90">
            <w:pPr>
              <w:pStyle w:val="TableRowCentered"/>
              <w:jc w:val="left"/>
              <w:rPr>
                <w:sz w:val="22"/>
              </w:rPr>
            </w:pPr>
            <w:r>
              <w:rPr>
                <w:sz w:val="22"/>
              </w:rPr>
              <w:lastRenderedPageBreak/>
              <w:t>1, 3,</w:t>
            </w:r>
          </w:p>
        </w:tc>
      </w:tr>
      <w:tr w:rsidR="006B43E7" w14:paraId="2A7D5530" w14:textId="77777777" w:rsidTr="006B43E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CA5CA82" w:rsidR="00E66558" w:rsidRPr="006B43E7" w:rsidRDefault="006B43E7">
            <w:pPr>
              <w:pStyle w:val="TableRow"/>
              <w:rPr>
                <w:iCs/>
                <w:sz w:val="22"/>
              </w:rPr>
            </w:pPr>
            <w:r>
              <w:rPr>
                <w:iCs/>
                <w:sz w:val="22"/>
              </w:rPr>
              <w:t xml:space="preserve">Additional interventions to enhance students’ reading </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17B155A1" w:rsidR="00E66558" w:rsidRDefault="006B43E7">
            <w:pPr>
              <w:pStyle w:val="TableRowCentered"/>
              <w:jc w:val="left"/>
              <w:rPr>
                <w:sz w:val="22"/>
              </w:rPr>
            </w:pPr>
            <w:r>
              <w:rPr>
                <w:sz w:val="22"/>
              </w:rPr>
              <w:t xml:space="preserve">In 2024-2027 this will involve the Herts for Learning Literacy Project for students who are not assisted by SEND interventions.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66F4902" w:rsidR="00E66558" w:rsidRDefault="006B43E7">
            <w:pPr>
              <w:pStyle w:val="TableRowCentered"/>
              <w:jc w:val="left"/>
              <w:rPr>
                <w:sz w:val="22"/>
              </w:rPr>
            </w:pPr>
            <w:r>
              <w:rPr>
                <w:sz w:val="22"/>
              </w:rPr>
              <w:t>2, 4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18E62FEE" w:rsidR="00E66558" w:rsidRDefault="009D71E8">
      <w:pPr>
        <w:spacing w:before="240" w:after="120"/>
      </w:pPr>
      <w:r>
        <w:t xml:space="preserve">Budgeted cost: £ </w:t>
      </w:r>
      <w:r w:rsidR="00B75C80">
        <w:rPr>
          <w:i/>
          <w:iCs/>
        </w:rPr>
        <w:t>[</w:t>
      </w:r>
      <w:r w:rsidR="0060516C">
        <w:rPr>
          <w:i/>
          <w:iCs/>
        </w:rPr>
        <w:t>6</w:t>
      </w:r>
      <w:r w:rsidR="00A35A2A">
        <w:rPr>
          <w:i/>
          <w:iCs/>
        </w:rPr>
        <w:t>0</w:t>
      </w:r>
      <w:r w:rsidR="00B75C80">
        <w:rPr>
          <w:i/>
          <w:iCs/>
        </w:rPr>
        <w:t>,000</w:t>
      </w:r>
      <w:r>
        <w:rPr>
          <w:i/>
          <w:iCs/>
        </w:rPr>
        <w:t>]</w:t>
      </w:r>
    </w:p>
    <w:tbl>
      <w:tblPr>
        <w:tblW w:w="5000" w:type="pct"/>
        <w:tblLayout w:type="fixed"/>
        <w:tblCellMar>
          <w:left w:w="10" w:type="dxa"/>
          <w:right w:w="10" w:type="dxa"/>
        </w:tblCellMar>
        <w:tblLook w:val="04A0" w:firstRow="1" w:lastRow="0" w:firstColumn="1" w:lastColumn="0" w:noHBand="0" w:noVBand="1"/>
      </w:tblPr>
      <w:tblGrid>
        <w:gridCol w:w="2830"/>
        <w:gridCol w:w="4395"/>
        <w:gridCol w:w="2261"/>
      </w:tblGrid>
      <w:tr w:rsidR="00E66558" w14:paraId="2A7D5537" w14:textId="77777777" w:rsidTr="00C5316F">
        <w:tc>
          <w:tcPr>
            <w:tcW w:w="283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39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26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F723D0" w14:paraId="6E8869A5" w14:textId="77777777" w:rsidTr="00C5316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03FD" w14:textId="748744A7" w:rsidR="00F723D0" w:rsidRDefault="0052609C">
            <w:pPr>
              <w:pStyle w:val="TableRow"/>
            </w:pPr>
            <w:r>
              <w:t>Restructure of Student services will develop relationships between Key Workers and families</w:t>
            </w:r>
            <w:r w:rsidR="00C5316F">
              <w:t>.</w:t>
            </w:r>
            <w:r w:rsidR="00BE1A32">
              <w:t xml:space="preserve"> This will have a positive impact on attendance and building links to break down any other barriers to learning.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98AB" w14:textId="1C578E5E" w:rsidR="00F723D0" w:rsidRPr="00C5316F" w:rsidRDefault="00000000">
            <w:pPr>
              <w:pStyle w:val="TableRowCentered"/>
              <w:jc w:val="left"/>
              <w:rPr>
                <w:sz w:val="22"/>
                <w:szCs w:val="22"/>
              </w:rPr>
            </w:pPr>
            <w:hyperlink r:id="rId16" w:anchor=":~:text=Parental%20engagement%20approaches%20are%20typically,approaches%2C%20schools%20should%20consider%20implementation" w:history="1">
              <w:r w:rsidR="00C5316F" w:rsidRPr="00C5316F">
                <w:rPr>
                  <w:rStyle w:val="Hyperlink"/>
                  <w:sz w:val="22"/>
                  <w:szCs w:val="22"/>
                </w:rPr>
                <w:t>https://educationendowmentfoundation.org.uk/education-evidence/teaching-learning-toolkit/parental-engagement#:~:text=Parental%20engagement%20approaches%20are%20typically,approaches%2C%20schools%20should%20consider%20implementation</w:t>
              </w:r>
            </w:hyperlink>
            <w:r w:rsidR="00C5316F" w:rsidRPr="00C5316F">
              <w:rPr>
                <w:sz w:val="22"/>
                <w:szCs w:val="22"/>
              </w:rPr>
              <w:t>.</w:t>
            </w:r>
          </w:p>
          <w:p w14:paraId="79D0D3ED" w14:textId="2FF0ABB8" w:rsidR="00C5316F" w:rsidRDefault="00C5316F">
            <w:pPr>
              <w:pStyle w:val="TableRowCentered"/>
              <w:jc w:val="left"/>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3530" w14:textId="30E145BE" w:rsidR="00F723D0" w:rsidRDefault="00E60192">
            <w:pPr>
              <w:pStyle w:val="TableRowCentered"/>
              <w:jc w:val="left"/>
              <w:rPr>
                <w:sz w:val="22"/>
              </w:rPr>
            </w:pPr>
            <w:r>
              <w:rPr>
                <w:sz w:val="22"/>
              </w:rPr>
              <w:t>1,3</w:t>
            </w:r>
          </w:p>
        </w:tc>
      </w:tr>
      <w:tr w:rsidR="00E66558" w14:paraId="2A7D553B" w14:textId="77777777" w:rsidTr="00C5316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C5E5C46" w:rsidR="00E66558" w:rsidRPr="006B43E7" w:rsidRDefault="006B43E7">
            <w:pPr>
              <w:pStyle w:val="TableRow"/>
            </w:pPr>
            <w:r>
              <w:t>Expand support for vulnerable students through provision such as “The Study”</w:t>
            </w:r>
            <w:r w:rsidR="00E60192">
              <w:t xml:space="preserve"> including further ELSA </w:t>
            </w:r>
            <w:r w:rsidR="00A35A2A">
              <w:t xml:space="preserve">trained </w:t>
            </w:r>
            <w:r w:rsidR="00E60192">
              <w:t>staff</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57621" w14:textId="77777777" w:rsidR="00E66558" w:rsidRDefault="00000000">
            <w:pPr>
              <w:pStyle w:val="TableRowCentered"/>
              <w:jc w:val="left"/>
              <w:rPr>
                <w:sz w:val="22"/>
              </w:rPr>
            </w:pPr>
            <w:hyperlink r:id="rId17" w:history="1">
              <w:r w:rsidR="00B75C80" w:rsidRPr="00F27B24">
                <w:rPr>
                  <w:rStyle w:val="Hyperlink"/>
                  <w:sz w:val="22"/>
                </w:rPr>
                <w:t>https://educationendowmentfoundation.org.uk/education-evidence/guidance-reports/behaviour</w:t>
              </w:r>
            </w:hyperlink>
          </w:p>
          <w:p w14:paraId="68218CC2" w14:textId="77777777" w:rsidR="00B75C80" w:rsidRDefault="00B75C80">
            <w:pPr>
              <w:pStyle w:val="TableRowCentered"/>
              <w:jc w:val="left"/>
              <w:rPr>
                <w:sz w:val="22"/>
              </w:rPr>
            </w:pPr>
          </w:p>
          <w:p w14:paraId="2A7D5539" w14:textId="39D67983" w:rsidR="00B75C80" w:rsidRDefault="00000000">
            <w:pPr>
              <w:pStyle w:val="TableRowCentered"/>
              <w:jc w:val="left"/>
              <w:rPr>
                <w:sz w:val="22"/>
              </w:rPr>
            </w:pPr>
            <w:hyperlink r:id="rId18" w:history="1">
              <w:r w:rsidR="00B75C80" w:rsidRPr="00F27B24">
                <w:rPr>
                  <w:rStyle w:val="Hyperlink"/>
                  <w:sz w:val="22"/>
                </w:rPr>
                <w:t>https://www.traumainformedschools.co.uk/evidence-base</w:t>
              </w:r>
            </w:hyperlink>
            <w:r w:rsidR="00B75C80">
              <w:rPr>
                <w:sz w:val="22"/>
              </w:rPr>
              <w:t xml:space="preserve"> </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905C402" w:rsidR="00E66558" w:rsidRDefault="006B43E7">
            <w:pPr>
              <w:pStyle w:val="TableRowCentered"/>
              <w:jc w:val="left"/>
              <w:rPr>
                <w:sz w:val="22"/>
              </w:rPr>
            </w:pPr>
            <w:r>
              <w:rPr>
                <w:sz w:val="22"/>
              </w:rPr>
              <w:t>1,2,3,4</w:t>
            </w:r>
          </w:p>
        </w:tc>
      </w:tr>
      <w:tr w:rsidR="00E66558" w14:paraId="2A7D553F" w14:textId="77777777" w:rsidTr="00C5316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FF57C06" w:rsidR="00E66558" w:rsidRPr="006B43E7" w:rsidRDefault="006B43E7">
            <w:pPr>
              <w:pStyle w:val="TableRow"/>
              <w:rPr>
                <w:iCs/>
                <w:sz w:val="22"/>
              </w:rPr>
            </w:pPr>
            <w:r>
              <w:t xml:space="preserve">Provision of resources to enable wide participation and accrual of cultural capital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4DB6" w14:textId="77777777" w:rsidR="00E66558" w:rsidRDefault="006B43E7">
            <w:pPr>
              <w:pStyle w:val="TableRowCentered"/>
              <w:jc w:val="left"/>
              <w:rPr>
                <w:sz w:val="22"/>
              </w:rPr>
            </w:pPr>
            <w:r>
              <w:rPr>
                <w:sz w:val="22"/>
              </w:rPr>
              <w:t>These resources can include:</w:t>
            </w:r>
          </w:p>
          <w:p w14:paraId="56AD67B2" w14:textId="77777777" w:rsidR="006B43E7" w:rsidRDefault="006B43E7" w:rsidP="006B43E7">
            <w:pPr>
              <w:pStyle w:val="TableRowCentered"/>
              <w:numPr>
                <w:ilvl w:val="0"/>
                <w:numId w:val="16"/>
              </w:numPr>
              <w:jc w:val="left"/>
              <w:rPr>
                <w:sz w:val="22"/>
              </w:rPr>
            </w:pPr>
            <w:r>
              <w:rPr>
                <w:sz w:val="22"/>
              </w:rPr>
              <w:t>Support for school trips and experiences</w:t>
            </w:r>
          </w:p>
          <w:p w14:paraId="6469D753" w14:textId="77777777" w:rsidR="006B43E7" w:rsidRDefault="006B43E7" w:rsidP="006B43E7">
            <w:pPr>
              <w:pStyle w:val="TableRowCentered"/>
              <w:numPr>
                <w:ilvl w:val="0"/>
                <w:numId w:val="16"/>
              </w:numPr>
              <w:jc w:val="left"/>
              <w:rPr>
                <w:sz w:val="22"/>
              </w:rPr>
            </w:pPr>
            <w:r>
              <w:rPr>
                <w:sz w:val="22"/>
              </w:rPr>
              <w:t>Music lessons</w:t>
            </w:r>
          </w:p>
          <w:p w14:paraId="018C649E" w14:textId="77777777" w:rsidR="006B43E7" w:rsidRDefault="006B43E7" w:rsidP="006B43E7">
            <w:pPr>
              <w:pStyle w:val="TableRowCentered"/>
              <w:numPr>
                <w:ilvl w:val="0"/>
                <w:numId w:val="16"/>
              </w:numPr>
              <w:jc w:val="left"/>
              <w:rPr>
                <w:sz w:val="22"/>
              </w:rPr>
            </w:pPr>
            <w:r>
              <w:rPr>
                <w:sz w:val="22"/>
              </w:rPr>
              <w:t xml:space="preserve">Uniform </w:t>
            </w:r>
          </w:p>
          <w:p w14:paraId="56C73E5A" w14:textId="77777777" w:rsidR="006B43E7" w:rsidRDefault="006B43E7" w:rsidP="006B43E7">
            <w:pPr>
              <w:pStyle w:val="TableRowCentered"/>
              <w:numPr>
                <w:ilvl w:val="0"/>
                <w:numId w:val="16"/>
              </w:numPr>
              <w:jc w:val="left"/>
              <w:rPr>
                <w:sz w:val="22"/>
              </w:rPr>
            </w:pPr>
            <w:r>
              <w:rPr>
                <w:sz w:val="22"/>
              </w:rPr>
              <w:t>Revision resources</w:t>
            </w:r>
          </w:p>
          <w:p w14:paraId="4CED9281" w14:textId="77777777" w:rsidR="006B43E7" w:rsidRDefault="006B43E7" w:rsidP="006B43E7">
            <w:pPr>
              <w:pStyle w:val="TableRowCentered"/>
              <w:numPr>
                <w:ilvl w:val="0"/>
                <w:numId w:val="16"/>
              </w:numPr>
              <w:jc w:val="left"/>
              <w:rPr>
                <w:sz w:val="22"/>
              </w:rPr>
            </w:pPr>
            <w:r>
              <w:rPr>
                <w:sz w:val="22"/>
              </w:rPr>
              <w:t xml:space="preserve">Tutoring </w:t>
            </w:r>
          </w:p>
          <w:p w14:paraId="2A7D553D" w14:textId="799876C3" w:rsidR="006B43E7" w:rsidRDefault="006B43E7" w:rsidP="00B75C80">
            <w:pPr>
              <w:pStyle w:val="TableRowCentered"/>
              <w:jc w:val="left"/>
              <w:rPr>
                <w:sz w:val="22"/>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Default="00E66558">
            <w:pPr>
              <w:pStyle w:val="TableRowCentered"/>
              <w:jc w:val="left"/>
              <w:rPr>
                <w:sz w:val="22"/>
              </w:rPr>
            </w:pPr>
          </w:p>
        </w:tc>
      </w:tr>
      <w:tr w:rsidR="006B43E7" w14:paraId="0A45F7B9" w14:textId="77777777" w:rsidTr="00C5316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04D9" w14:textId="3457D230" w:rsidR="006B43E7" w:rsidRDefault="00B75C80">
            <w:pPr>
              <w:pStyle w:val="TableRow"/>
            </w:pPr>
            <w:r>
              <w:lastRenderedPageBreak/>
              <w:t xml:space="preserve">Contingency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ED84A" w14:textId="0B8DDEE1" w:rsidR="006B43E7" w:rsidRDefault="00B75C80">
            <w:pPr>
              <w:pStyle w:val="TableRowCentered"/>
              <w:jc w:val="left"/>
              <w:rPr>
                <w:sz w:val="22"/>
              </w:rPr>
            </w:pPr>
            <w:r>
              <w:t xml:space="preserve">This is held for unforeseen circumstances and individual student need. </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C7875" w14:textId="77777777" w:rsidR="006B43E7" w:rsidRDefault="006B43E7">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3313CB35" w:rsidR="00E66558" w:rsidRDefault="009D71E8" w:rsidP="00120AB1">
      <w:r>
        <w:rPr>
          <w:b/>
          <w:bCs/>
          <w:color w:val="104F75"/>
          <w:sz w:val="28"/>
          <w:szCs w:val="28"/>
        </w:rPr>
        <w:t xml:space="preserve">Total budgeted cost: £ </w:t>
      </w:r>
      <w:r>
        <w:rPr>
          <w:i/>
          <w:iCs/>
          <w:color w:val="104F75"/>
          <w:sz w:val="28"/>
          <w:szCs w:val="28"/>
        </w:rPr>
        <w:t>[</w:t>
      </w:r>
      <w:r w:rsidR="00D30781">
        <w:rPr>
          <w:i/>
          <w:iCs/>
          <w:color w:val="104F75"/>
          <w:sz w:val="28"/>
          <w:szCs w:val="28"/>
        </w:rPr>
        <w:t>180</w:t>
      </w:r>
      <w:r w:rsidR="00B75C80">
        <w:rPr>
          <w:i/>
          <w:iCs/>
          <w:color w:val="104F75"/>
          <w:sz w:val="28"/>
          <w:szCs w:val="28"/>
        </w:rPr>
        <w:t>,000</w:t>
      </w:r>
      <w:r>
        <w:rPr>
          <w:i/>
          <w:iCs/>
          <w:color w:val="104F75"/>
          <w:sz w:val="28"/>
          <w:szCs w:val="28"/>
        </w:rPr>
        <w:t>]</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38253F" w14:textId="25F19137" w:rsidR="0064167B" w:rsidRDefault="00063908" w:rsidP="00242093">
            <w:pPr>
              <w:spacing w:before="60"/>
              <w:rPr>
                <w:lang w:eastAsia="en-US"/>
              </w:rPr>
            </w:pPr>
            <w:r>
              <w:rPr>
                <w:lang w:eastAsia="en-US"/>
              </w:rPr>
              <w:t xml:space="preserve">Our previous strategy sought to improve students’ reading; attendance; achievement; and wellbeing.  Following the pandemic all of these issues remain key challenges and are reflected in priorities for 2024-27.  </w:t>
            </w:r>
          </w:p>
          <w:p w14:paraId="7B69DC2C" w14:textId="27308F94" w:rsidR="00063908" w:rsidRPr="00063908" w:rsidRDefault="00063908" w:rsidP="00242093">
            <w:pPr>
              <w:spacing w:before="60"/>
              <w:rPr>
                <w:b/>
                <w:bCs/>
                <w:lang w:eastAsia="en-US"/>
              </w:rPr>
            </w:pPr>
            <w:r w:rsidRPr="00063908">
              <w:rPr>
                <w:b/>
                <w:bCs/>
                <w:lang w:eastAsia="en-US"/>
              </w:rPr>
              <w:t xml:space="preserve">Reading </w:t>
            </w:r>
          </w:p>
          <w:p w14:paraId="7021D5A9" w14:textId="30374329" w:rsidR="00750844" w:rsidRDefault="00063908" w:rsidP="00242093">
            <w:pPr>
              <w:spacing w:before="60"/>
              <w:rPr>
                <w:lang w:eastAsia="en-US"/>
              </w:rPr>
            </w:pPr>
            <w:r>
              <w:rPr>
                <w:lang w:eastAsia="en-US"/>
              </w:rPr>
              <w:t xml:space="preserve">All staff were trained in explicit vocabulary instruction and a whole-school approach to new vocabulary established.  </w:t>
            </w:r>
            <w:r w:rsidR="00750844">
              <w:rPr>
                <w:lang w:eastAsia="en-US"/>
              </w:rPr>
              <w:t xml:space="preserve">Interventions such as </w:t>
            </w:r>
            <w:r w:rsidR="008438AB">
              <w:rPr>
                <w:lang w:eastAsia="en-US"/>
              </w:rPr>
              <w:t>S</w:t>
            </w:r>
            <w:r w:rsidR="00750844">
              <w:rPr>
                <w:lang w:eastAsia="en-US"/>
              </w:rPr>
              <w:t xml:space="preserve">pellzone, </w:t>
            </w:r>
            <w:r w:rsidR="00750844" w:rsidRPr="00750844">
              <w:rPr>
                <w:lang w:eastAsia="en-US"/>
              </w:rPr>
              <w:t>Lexia, Catchup Literacy, sound discovery</w:t>
            </w:r>
            <w:r w:rsidR="00750844">
              <w:rPr>
                <w:lang w:eastAsia="en-US"/>
              </w:rPr>
              <w:t xml:space="preserve"> enjoy considerable success- 82% of target students improved their standardised age score in reading and 85% in comprehension.  </w:t>
            </w:r>
          </w:p>
          <w:p w14:paraId="762585CF" w14:textId="0E036248" w:rsidR="00063908" w:rsidRDefault="00750844" w:rsidP="00242093">
            <w:pPr>
              <w:spacing w:before="60"/>
              <w:rPr>
                <w:lang w:eastAsia="en-US"/>
              </w:rPr>
            </w:pPr>
            <w:r>
              <w:rPr>
                <w:lang w:eastAsia="en-US"/>
              </w:rPr>
              <w:t xml:space="preserve">Next steps for 2024-27: Tutor time reading programme, Hackney Literacy Programme, focus shift to students who are not currently receiving Spellzone, </w:t>
            </w:r>
            <w:r w:rsidRPr="00750844">
              <w:rPr>
                <w:lang w:eastAsia="en-US"/>
              </w:rPr>
              <w:t xml:space="preserve">Lexia, Catchup Literacy, </w:t>
            </w:r>
            <w:r>
              <w:rPr>
                <w:lang w:eastAsia="en-US"/>
              </w:rPr>
              <w:t>S</w:t>
            </w:r>
            <w:r w:rsidRPr="00750844">
              <w:rPr>
                <w:lang w:eastAsia="en-US"/>
              </w:rPr>
              <w:t xml:space="preserve">ound </w:t>
            </w:r>
            <w:r>
              <w:rPr>
                <w:lang w:eastAsia="en-US"/>
              </w:rPr>
              <w:t>D</w:t>
            </w:r>
            <w:r w:rsidRPr="00750844">
              <w:rPr>
                <w:lang w:eastAsia="en-US"/>
              </w:rPr>
              <w:t>iscovery</w:t>
            </w:r>
            <w:r>
              <w:rPr>
                <w:lang w:eastAsia="en-US"/>
              </w:rPr>
              <w:t xml:space="preserve">.  </w:t>
            </w:r>
          </w:p>
          <w:p w14:paraId="64C84915" w14:textId="42337CF8" w:rsidR="00750844" w:rsidRPr="00750844" w:rsidRDefault="00750844" w:rsidP="00242093">
            <w:pPr>
              <w:spacing w:before="60"/>
              <w:rPr>
                <w:b/>
                <w:bCs/>
                <w:lang w:eastAsia="en-US"/>
              </w:rPr>
            </w:pPr>
            <w:r w:rsidRPr="00750844">
              <w:rPr>
                <w:b/>
                <w:bCs/>
                <w:lang w:eastAsia="en-US"/>
              </w:rPr>
              <w:t>Attendance</w:t>
            </w:r>
          </w:p>
          <w:p w14:paraId="6702F54F" w14:textId="48E9F695" w:rsidR="00750844" w:rsidRDefault="00750844" w:rsidP="00242093">
            <w:pPr>
              <w:spacing w:before="60"/>
              <w:rPr>
                <w:lang w:eastAsia="en-US"/>
              </w:rPr>
            </w:pPr>
            <w:r>
              <w:rPr>
                <w:lang w:eastAsia="en-US"/>
              </w:rPr>
              <w:t xml:space="preserve">As noted above, the gap in attendance between disadvantaged students and their peers remains a national concern and a key priority for leaders at SWA.  In the 2022-23 academic year </w:t>
            </w:r>
            <w:r w:rsidRPr="00750844">
              <w:rPr>
                <w:lang w:eastAsia="en-US"/>
              </w:rPr>
              <w:t>37.9 per cent</w:t>
            </w:r>
            <w:r>
              <w:rPr>
                <w:lang w:eastAsia="en-US"/>
              </w:rPr>
              <w:t xml:space="preserve"> of disadvantaged students nationally were persistently absent.  In 2023 we have introduced a new school-wide attendance strategy. </w:t>
            </w:r>
            <w:r w:rsidR="00C42513">
              <w:rPr>
                <w:lang w:eastAsia="en-US"/>
              </w:rPr>
              <w:t xml:space="preserve">Student attendance will be clearly tracked and the role of the form tutor is pivotal within this new model. </w:t>
            </w:r>
            <w:r w:rsidR="00400B44">
              <w:rPr>
                <w:lang w:eastAsia="en-US"/>
              </w:rPr>
              <w:t xml:space="preserve">Earlier identification of arising attendance issues will be </w:t>
            </w:r>
            <w:r w:rsidR="0066124F">
              <w:rPr>
                <w:lang w:eastAsia="en-US"/>
              </w:rPr>
              <w:t>paramount to children not slipping into poor attendance ahabits. A warm and welcoming approach to attendance is key so that families feel supported</w:t>
            </w:r>
            <w:r w:rsidR="00D31735">
              <w:rPr>
                <w:lang w:eastAsia="en-US"/>
              </w:rPr>
              <w:t>. Relationships between families and school is a key priority in improving attendance at school.</w:t>
            </w:r>
          </w:p>
          <w:p w14:paraId="1392B38E" w14:textId="53184FD0" w:rsidR="00750844" w:rsidRPr="00380F05" w:rsidRDefault="00380F05" w:rsidP="00242093">
            <w:pPr>
              <w:spacing w:before="60"/>
              <w:rPr>
                <w:b/>
                <w:bCs/>
                <w:lang w:eastAsia="en-US"/>
              </w:rPr>
            </w:pPr>
            <w:r w:rsidRPr="00380F05">
              <w:rPr>
                <w:b/>
                <w:bCs/>
                <w:lang w:eastAsia="en-US"/>
              </w:rPr>
              <w:t xml:space="preserve">Achievement </w:t>
            </w:r>
          </w:p>
          <w:p w14:paraId="79831BD8" w14:textId="2F9453AB" w:rsidR="00380F05" w:rsidRDefault="008438AB" w:rsidP="00242093">
            <w:pPr>
              <w:spacing w:before="60"/>
              <w:rPr>
                <w:lang w:eastAsia="en-US"/>
              </w:rPr>
            </w:pPr>
            <w:r>
              <w:rPr>
                <w:lang w:eastAsia="en-US"/>
              </w:rPr>
              <w:t xml:space="preserve">Achievement of disadvantaged students lags behind that of their peers.  This was less marked in the years where final grades were decided by Teacher Assessed grades and Centre Assessed grades.  In 2023 the progress 8 score of disadvantaged students was -1.2 compared to -0.1 for their peers.  The average attainment 8 score for disadvantaged students was 3.3 compared to 4.6 for their peers.  The gaps were particularly noticeable in the Ebacc and Open elements. In 2023-24 we have made a number of improvements to tracking; timings and use of mock exams; curriculum; class routines and revision support.  Indications following the final mock examination series are that disadvantaged students are on course to narrow the gap </w:t>
            </w:r>
            <w:r w:rsidR="00B066DA">
              <w:rPr>
                <w:lang w:eastAsia="en-US"/>
              </w:rPr>
              <w:t xml:space="preserve">significantly </w:t>
            </w:r>
            <w:r>
              <w:rPr>
                <w:lang w:eastAsia="en-US"/>
              </w:rPr>
              <w:t xml:space="preserve">compared to 2023. </w:t>
            </w:r>
          </w:p>
          <w:p w14:paraId="0E8070B8" w14:textId="49D0F522" w:rsidR="00380F05" w:rsidRPr="00380F05" w:rsidRDefault="00380F05" w:rsidP="00242093">
            <w:pPr>
              <w:spacing w:before="60"/>
              <w:rPr>
                <w:b/>
                <w:bCs/>
                <w:lang w:eastAsia="en-US"/>
              </w:rPr>
            </w:pPr>
            <w:r w:rsidRPr="00380F05">
              <w:rPr>
                <w:b/>
                <w:bCs/>
                <w:lang w:eastAsia="en-US"/>
              </w:rPr>
              <w:lastRenderedPageBreak/>
              <w:t>Wellbeing</w:t>
            </w:r>
          </w:p>
          <w:p w14:paraId="1D31CA99" w14:textId="451AB024" w:rsidR="00380F05" w:rsidRDefault="00380F05" w:rsidP="00242093">
            <w:pPr>
              <w:spacing w:before="60"/>
              <w:rPr>
                <w:lang w:eastAsia="en-US"/>
              </w:rPr>
            </w:pPr>
            <w:r>
              <w:rPr>
                <w:lang w:eastAsia="en-US"/>
              </w:rPr>
              <w:t xml:space="preserve">Introduction of the Study and the Wellbeing Way with ongoing Trauma training for all staff from the Mental Health Support Team have increased the effectiveness of support for vulnerable students.  The challenge for 2024-27 is to increase capacity to meet the increasing demand. </w:t>
            </w:r>
            <w:r w:rsidR="008D4CBA">
              <w:rPr>
                <w:lang w:eastAsia="en-US"/>
              </w:rPr>
              <w:t>Changes to the interventions in the study have been adjusted and they now follow an Assess, Plan Do, Review model. Students have an intervention for a limited amount of time</w:t>
            </w:r>
            <w:r w:rsidR="00726BBB">
              <w:rPr>
                <w:lang w:eastAsia="en-US"/>
              </w:rPr>
              <w:t>. This allows more children to have access to the study and for interventions to take a graduated response.</w:t>
            </w:r>
            <w:r w:rsidR="00223C0C">
              <w:rPr>
                <w:lang w:eastAsia="en-US"/>
              </w:rPr>
              <w:t xml:space="preserve"> The study is not able to offer interventions to children who are already receiving support from other agencies as this could cause a conflict. This has also given some capacity back to the interventions</w:t>
            </w:r>
            <w:r w:rsidR="00C42513">
              <w:rPr>
                <w:lang w:eastAsia="en-US"/>
              </w:rPr>
              <w:t>.</w:t>
            </w:r>
          </w:p>
          <w:p w14:paraId="5023926C" w14:textId="4C06B020" w:rsidR="00063908" w:rsidRPr="00B75C80" w:rsidRDefault="00063908" w:rsidP="00242093">
            <w:pPr>
              <w:spacing w:before="60"/>
              <w:rPr>
                <w:lang w:eastAsia="en-US"/>
              </w:rPr>
            </w:pP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1E7CB20" w:rsidR="00E66558" w:rsidRDefault="00B75C80">
            <w:pPr>
              <w:pStyle w:val="TableRow"/>
            </w:pPr>
            <w:r>
              <w:t xml:space="preserve">Lexia Learning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6368767" w:rsidR="00E66558" w:rsidRDefault="00000000">
            <w:pPr>
              <w:pStyle w:val="TableRowCentered"/>
              <w:jc w:val="left"/>
            </w:pPr>
            <w:hyperlink r:id="rId19" w:history="1">
              <w:r w:rsidR="00063908" w:rsidRPr="00F27B24">
                <w:rPr>
                  <w:rStyle w:val="Hyperlink"/>
                </w:rPr>
                <w:t>https://www.lexialearning.com/</w:t>
              </w:r>
            </w:hyperlink>
            <w:r w:rsidR="00063908">
              <w:t xml:space="preserve">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4813040" w:rsidR="00E66558" w:rsidRDefault="00063908">
            <w:pPr>
              <w:pStyle w:val="TableRow"/>
            </w:pPr>
            <w:r>
              <w:t xml:space="preserve">New Group Reading Test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6084282" w:rsidR="00E66558" w:rsidRDefault="00000000">
            <w:pPr>
              <w:pStyle w:val="TableRowCentered"/>
              <w:jc w:val="left"/>
            </w:pPr>
            <w:hyperlink r:id="rId20" w:history="1">
              <w:r w:rsidR="00063908" w:rsidRPr="00F27B24">
                <w:rPr>
                  <w:rStyle w:val="Hyperlink"/>
                </w:rPr>
                <w:t>https://www.gl-assessment.co.uk</w:t>
              </w:r>
            </w:hyperlink>
            <w:r w:rsidR="00063908">
              <w:t xml:space="preserve"> </w:t>
            </w:r>
          </w:p>
        </w:tc>
      </w:tr>
      <w:tr w:rsidR="00063908" w14:paraId="735631E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FAF6" w14:textId="44226EC3" w:rsidR="00063908" w:rsidRDefault="00063908">
            <w:pPr>
              <w:pStyle w:val="TableRow"/>
            </w:pPr>
            <w:r>
              <w:t xml:space="preserve">National College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3836F" w14:textId="4CACCA07" w:rsidR="00063908" w:rsidRPr="00063908" w:rsidRDefault="00000000">
            <w:pPr>
              <w:pStyle w:val="TableRowCentered"/>
              <w:jc w:val="left"/>
            </w:pPr>
            <w:hyperlink r:id="rId21" w:history="1">
              <w:r w:rsidR="00063908" w:rsidRPr="00F27B24">
                <w:rPr>
                  <w:rStyle w:val="Hyperlink"/>
                </w:rPr>
                <w:t>https://nationalcollege.com/secondary</w:t>
              </w:r>
            </w:hyperlink>
            <w:r w:rsidR="00063908">
              <w:t xml:space="preserve"> </w:t>
            </w:r>
          </w:p>
        </w:tc>
      </w:tr>
      <w:bookmarkEnd w:id="14"/>
      <w:bookmarkEnd w:id="15"/>
      <w:bookmarkEnd w:id="16"/>
    </w:tbl>
    <w:p w14:paraId="2A7D5564" w14:textId="77777777" w:rsidR="00E66558" w:rsidRDefault="00E66558"/>
    <w:sectPr w:rsidR="00E66558">
      <w:headerReference w:type="default" r:id="rId22"/>
      <w:footerReference w:type="default" r:id="rId2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9A6E" w14:textId="77777777" w:rsidR="002E7056" w:rsidRDefault="002E7056">
      <w:pPr>
        <w:spacing w:after="0" w:line="240" w:lineRule="auto"/>
      </w:pPr>
      <w:r>
        <w:separator/>
      </w:r>
    </w:p>
  </w:endnote>
  <w:endnote w:type="continuationSeparator" w:id="0">
    <w:p w14:paraId="4DEE1D5A" w14:textId="77777777" w:rsidR="002E7056" w:rsidRDefault="002E7056">
      <w:pPr>
        <w:spacing w:after="0" w:line="240" w:lineRule="auto"/>
      </w:pPr>
      <w:r>
        <w:continuationSeparator/>
      </w:r>
    </w:p>
  </w:endnote>
  <w:endnote w:type="continuationNotice" w:id="1">
    <w:p w14:paraId="79788C16" w14:textId="77777777" w:rsidR="002E7056" w:rsidRDefault="002E7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00AC" w14:textId="77777777" w:rsidR="002E7056" w:rsidRDefault="002E7056">
      <w:pPr>
        <w:spacing w:after="0" w:line="240" w:lineRule="auto"/>
      </w:pPr>
      <w:r>
        <w:separator/>
      </w:r>
    </w:p>
  </w:footnote>
  <w:footnote w:type="continuationSeparator" w:id="0">
    <w:p w14:paraId="171125D2" w14:textId="77777777" w:rsidR="002E7056" w:rsidRDefault="002E7056">
      <w:pPr>
        <w:spacing w:after="0" w:line="240" w:lineRule="auto"/>
      </w:pPr>
      <w:r>
        <w:continuationSeparator/>
      </w:r>
    </w:p>
  </w:footnote>
  <w:footnote w:type="continuationNotice" w:id="1">
    <w:p w14:paraId="6933934D" w14:textId="77777777" w:rsidR="002E7056" w:rsidRDefault="002E70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5165DA"/>
    <w:multiLevelType w:val="hybridMultilevel"/>
    <w:tmpl w:val="3718E82A"/>
    <w:lvl w:ilvl="0" w:tplc="CAE8D432">
      <w:start w:val="2023"/>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BF742AD"/>
    <w:multiLevelType w:val="hybridMultilevel"/>
    <w:tmpl w:val="1B5E3FF4"/>
    <w:lvl w:ilvl="0" w:tplc="824639EA">
      <w:start w:val="2"/>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10"/>
  </w:num>
  <w:num w:numId="8" w16cid:durableId="982348153">
    <w:abstractNumId w:val="15"/>
  </w:num>
  <w:num w:numId="9" w16cid:durableId="1529290868">
    <w:abstractNumId w:val="13"/>
  </w:num>
  <w:num w:numId="10" w16cid:durableId="1171066271">
    <w:abstractNumId w:val="11"/>
  </w:num>
  <w:num w:numId="11" w16cid:durableId="1453552857">
    <w:abstractNumId w:val="2"/>
  </w:num>
  <w:num w:numId="12" w16cid:durableId="1812097430">
    <w:abstractNumId w:val="14"/>
  </w:num>
  <w:num w:numId="13" w16cid:durableId="42288650">
    <w:abstractNumId w:val="8"/>
  </w:num>
  <w:num w:numId="14" w16cid:durableId="1721712531">
    <w:abstractNumId w:val="7"/>
  </w:num>
  <w:num w:numId="15" w16cid:durableId="753555817">
    <w:abstractNumId w:val="9"/>
  </w:num>
  <w:num w:numId="16" w16cid:durableId="2019506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0F6B"/>
    <w:rsid w:val="000452EB"/>
    <w:rsid w:val="00045603"/>
    <w:rsid w:val="000463AE"/>
    <w:rsid w:val="000507A3"/>
    <w:rsid w:val="00057A39"/>
    <w:rsid w:val="00060A62"/>
    <w:rsid w:val="00063908"/>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3171F"/>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1106"/>
    <w:rsid w:val="001A2FE8"/>
    <w:rsid w:val="001A33AC"/>
    <w:rsid w:val="001C1C51"/>
    <w:rsid w:val="001D4FC9"/>
    <w:rsid w:val="001E0ECA"/>
    <w:rsid w:val="001E206F"/>
    <w:rsid w:val="001E3BA7"/>
    <w:rsid w:val="001E5750"/>
    <w:rsid w:val="001E66BA"/>
    <w:rsid w:val="001E7739"/>
    <w:rsid w:val="001E7E36"/>
    <w:rsid w:val="001F3DB4"/>
    <w:rsid w:val="001F7564"/>
    <w:rsid w:val="00203DB9"/>
    <w:rsid w:val="00204F40"/>
    <w:rsid w:val="00205DEF"/>
    <w:rsid w:val="002112C3"/>
    <w:rsid w:val="002131E5"/>
    <w:rsid w:val="00216C8A"/>
    <w:rsid w:val="00223C0C"/>
    <w:rsid w:val="00226317"/>
    <w:rsid w:val="00231539"/>
    <w:rsid w:val="00242093"/>
    <w:rsid w:val="00243F22"/>
    <w:rsid w:val="00244335"/>
    <w:rsid w:val="002523E3"/>
    <w:rsid w:val="00252AD6"/>
    <w:rsid w:val="00253730"/>
    <w:rsid w:val="002542CE"/>
    <w:rsid w:val="00257A4E"/>
    <w:rsid w:val="00266FA5"/>
    <w:rsid w:val="00276FBA"/>
    <w:rsid w:val="00277665"/>
    <w:rsid w:val="002837AE"/>
    <w:rsid w:val="0029200D"/>
    <w:rsid w:val="002920F4"/>
    <w:rsid w:val="002940F3"/>
    <w:rsid w:val="00295842"/>
    <w:rsid w:val="002A613D"/>
    <w:rsid w:val="002B3574"/>
    <w:rsid w:val="002B6B74"/>
    <w:rsid w:val="002C6AE7"/>
    <w:rsid w:val="002D2D4B"/>
    <w:rsid w:val="002D3805"/>
    <w:rsid w:val="002E66AE"/>
    <w:rsid w:val="002E7056"/>
    <w:rsid w:val="002E7763"/>
    <w:rsid w:val="002F4C6F"/>
    <w:rsid w:val="002F5011"/>
    <w:rsid w:val="002F5842"/>
    <w:rsid w:val="002F7847"/>
    <w:rsid w:val="00306CB7"/>
    <w:rsid w:val="003111F5"/>
    <w:rsid w:val="00314675"/>
    <w:rsid w:val="00317664"/>
    <w:rsid w:val="00336200"/>
    <w:rsid w:val="00337418"/>
    <w:rsid w:val="00351D83"/>
    <w:rsid w:val="00352197"/>
    <w:rsid w:val="00353E46"/>
    <w:rsid w:val="003576C4"/>
    <w:rsid w:val="0036277A"/>
    <w:rsid w:val="00366AB0"/>
    <w:rsid w:val="003700E8"/>
    <w:rsid w:val="0037437C"/>
    <w:rsid w:val="00380F05"/>
    <w:rsid w:val="0038146B"/>
    <w:rsid w:val="0038340F"/>
    <w:rsid w:val="00384457"/>
    <w:rsid w:val="00384F24"/>
    <w:rsid w:val="00397BD0"/>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3E4686"/>
    <w:rsid w:val="00400B44"/>
    <w:rsid w:val="00401136"/>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66EBD"/>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4F5164"/>
    <w:rsid w:val="005025FB"/>
    <w:rsid w:val="00502BEF"/>
    <w:rsid w:val="00503462"/>
    <w:rsid w:val="0051286E"/>
    <w:rsid w:val="00516021"/>
    <w:rsid w:val="00516457"/>
    <w:rsid w:val="00516641"/>
    <w:rsid w:val="0051729F"/>
    <w:rsid w:val="00520A0C"/>
    <w:rsid w:val="0052609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5558"/>
    <w:rsid w:val="005E73F1"/>
    <w:rsid w:val="005F07EF"/>
    <w:rsid w:val="005F16B6"/>
    <w:rsid w:val="005F5224"/>
    <w:rsid w:val="00600B2E"/>
    <w:rsid w:val="00601122"/>
    <w:rsid w:val="0060516C"/>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124F"/>
    <w:rsid w:val="006652DD"/>
    <w:rsid w:val="006671BF"/>
    <w:rsid w:val="00672A7D"/>
    <w:rsid w:val="00681416"/>
    <w:rsid w:val="006A06F5"/>
    <w:rsid w:val="006A0ED2"/>
    <w:rsid w:val="006B0A73"/>
    <w:rsid w:val="006B43E7"/>
    <w:rsid w:val="006B4A0C"/>
    <w:rsid w:val="006B5A6B"/>
    <w:rsid w:val="006C0F82"/>
    <w:rsid w:val="006C25E8"/>
    <w:rsid w:val="006C332E"/>
    <w:rsid w:val="006C3B16"/>
    <w:rsid w:val="006C5901"/>
    <w:rsid w:val="006D00F1"/>
    <w:rsid w:val="006D0F3C"/>
    <w:rsid w:val="006D377A"/>
    <w:rsid w:val="006D4222"/>
    <w:rsid w:val="006D6372"/>
    <w:rsid w:val="006D68C4"/>
    <w:rsid w:val="006D6E5C"/>
    <w:rsid w:val="006E02AF"/>
    <w:rsid w:val="006E0786"/>
    <w:rsid w:val="006E0DDC"/>
    <w:rsid w:val="006E6B4A"/>
    <w:rsid w:val="006E7449"/>
    <w:rsid w:val="006E7FB1"/>
    <w:rsid w:val="006F2604"/>
    <w:rsid w:val="006F5319"/>
    <w:rsid w:val="006F55FD"/>
    <w:rsid w:val="006F5D21"/>
    <w:rsid w:val="00702AE0"/>
    <w:rsid w:val="007109F6"/>
    <w:rsid w:val="00711BE3"/>
    <w:rsid w:val="00720661"/>
    <w:rsid w:val="00721B51"/>
    <w:rsid w:val="00721CAE"/>
    <w:rsid w:val="00724FA7"/>
    <w:rsid w:val="00725415"/>
    <w:rsid w:val="00726BBB"/>
    <w:rsid w:val="00727505"/>
    <w:rsid w:val="00731581"/>
    <w:rsid w:val="0073481D"/>
    <w:rsid w:val="00735CEF"/>
    <w:rsid w:val="00741B9E"/>
    <w:rsid w:val="00742C55"/>
    <w:rsid w:val="00743DAC"/>
    <w:rsid w:val="007455B3"/>
    <w:rsid w:val="007502CD"/>
    <w:rsid w:val="00750844"/>
    <w:rsid w:val="00752AE7"/>
    <w:rsid w:val="00752D3B"/>
    <w:rsid w:val="0075337B"/>
    <w:rsid w:val="00755CD4"/>
    <w:rsid w:val="00757F96"/>
    <w:rsid w:val="007610B5"/>
    <w:rsid w:val="007623CB"/>
    <w:rsid w:val="00762652"/>
    <w:rsid w:val="00764551"/>
    <w:rsid w:val="007677B8"/>
    <w:rsid w:val="00767BF2"/>
    <w:rsid w:val="00775E26"/>
    <w:rsid w:val="00781713"/>
    <w:rsid w:val="0078203A"/>
    <w:rsid w:val="00785285"/>
    <w:rsid w:val="0078529D"/>
    <w:rsid w:val="00785E77"/>
    <w:rsid w:val="00787DC1"/>
    <w:rsid w:val="00794070"/>
    <w:rsid w:val="007A63CA"/>
    <w:rsid w:val="007A713B"/>
    <w:rsid w:val="007A7DA0"/>
    <w:rsid w:val="007B50D4"/>
    <w:rsid w:val="007B64E5"/>
    <w:rsid w:val="007C2F04"/>
    <w:rsid w:val="007E1622"/>
    <w:rsid w:val="007F06E5"/>
    <w:rsid w:val="007F5B8B"/>
    <w:rsid w:val="00817E9A"/>
    <w:rsid w:val="00827786"/>
    <w:rsid w:val="00827BDA"/>
    <w:rsid w:val="00830D57"/>
    <w:rsid w:val="00831F00"/>
    <w:rsid w:val="00842D24"/>
    <w:rsid w:val="008438AB"/>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D4CBA"/>
    <w:rsid w:val="008E000B"/>
    <w:rsid w:val="008E2926"/>
    <w:rsid w:val="008E35C6"/>
    <w:rsid w:val="008E3F49"/>
    <w:rsid w:val="008E7FBC"/>
    <w:rsid w:val="008F243B"/>
    <w:rsid w:val="008F4675"/>
    <w:rsid w:val="008F50FE"/>
    <w:rsid w:val="008F69CD"/>
    <w:rsid w:val="00901E60"/>
    <w:rsid w:val="00904A66"/>
    <w:rsid w:val="00905029"/>
    <w:rsid w:val="00921A3A"/>
    <w:rsid w:val="009221CA"/>
    <w:rsid w:val="0092287F"/>
    <w:rsid w:val="0092495B"/>
    <w:rsid w:val="0092660E"/>
    <w:rsid w:val="00936519"/>
    <w:rsid w:val="00941DA3"/>
    <w:rsid w:val="00942C0C"/>
    <w:rsid w:val="00951711"/>
    <w:rsid w:val="009539E3"/>
    <w:rsid w:val="00954A5E"/>
    <w:rsid w:val="009551B2"/>
    <w:rsid w:val="0096022C"/>
    <w:rsid w:val="00964625"/>
    <w:rsid w:val="00974449"/>
    <w:rsid w:val="00980937"/>
    <w:rsid w:val="00981C1D"/>
    <w:rsid w:val="0098234C"/>
    <w:rsid w:val="0099109C"/>
    <w:rsid w:val="009936DB"/>
    <w:rsid w:val="00993CFC"/>
    <w:rsid w:val="009A1DC2"/>
    <w:rsid w:val="009A5EEA"/>
    <w:rsid w:val="009A632D"/>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33949"/>
    <w:rsid w:val="00A34867"/>
    <w:rsid w:val="00A35A2A"/>
    <w:rsid w:val="00A3706F"/>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012D"/>
    <w:rsid w:val="00AD7B5A"/>
    <w:rsid w:val="00AE229F"/>
    <w:rsid w:val="00AF5E20"/>
    <w:rsid w:val="00B002FA"/>
    <w:rsid w:val="00B00327"/>
    <w:rsid w:val="00B024B3"/>
    <w:rsid w:val="00B066DA"/>
    <w:rsid w:val="00B11DE8"/>
    <w:rsid w:val="00B179ED"/>
    <w:rsid w:val="00B20E18"/>
    <w:rsid w:val="00B24E90"/>
    <w:rsid w:val="00B331E1"/>
    <w:rsid w:val="00B572C4"/>
    <w:rsid w:val="00B60858"/>
    <w:rsid w:val="00B7129C"/>
    <w:rsid w:val="00B74D4E"/>
    <w:rsid w:val="00B75C80"/>
    <w:rsid w:val="00B80219"/>
    <w:rsid w:val="00B87184"/>
    <w:rsid w:val="00B91453"/>
    <w:rsid w:val="00B92EF1"/>
    <w:rsid w:val="00BA19A5"/>
    <w:rsid w:val="00BC078B"/>
    <w:rsid w:val="00BC3A7D"/>
    <w:rsid w:val="00BC4EDC"/>
    <w:rsid w:val="00BC67F6"/>
    <w:rsid w:val="00BD00B8"/>
    <w:rsid w:val="00BD2004"/>
    <w:rsid w:val="00BD4B12"/>
    <w:rsid w:val="00BD700D"/>
    <w:rsid w:val="00BE1A32"/>
    <w:rsid w:val="00BE2F92"/>
    <w:rsid w:val="00BE44AC"/>
    <w:rsid w:val="00BF0D5F"/>
    <w:rsid w:val="00BF4412"/>
    <w:rsid w:val="00BF59B3"/>
    <w:rsid w:val="00BF6F95"/>
    <w:rsid w:val="00C01115"/>
    <w:rsid w:val="00C10BCF"/>
    <w:rsid w:val="00C11EB4"/>
    <w:rsid w:val="00C12746"/>
    <w:rsid w:val="00C23C11"/>
    <w:rsid w:val="00C25827"/>
    <w:rsid w:val="00C31BB8"/>
    <w:rsid w:val="00C373EA"/>
    <w:rsid w:val="00C41CFA"/>
    <w:rsid w:val="00C42513"/>
    <w:rsid w:val="00C427E2"/>
    <w:rsid w:val="00C43CA3"/>
    <w:rsid w:val="00C43D9D"/>
    <w:rsid w:val="00C43EA4"/>
    <w:rsid w:val="00C50040"/>
    <w:rsid w:val="00C52DFF"/>
    <w:rsid w:val="00C5316F"/>
    <w:rsid w:val="00C621C1"/>
    <w:rsid w:val="00C62989"/>
    <w:rsid w:val="00C65CBB"/>
    <w:rsid w:val="00C74684"/>
    <w:rsid w:val="00C77FEF"/>
    <w:rsid w:val="00C80F37"/>
    <w:rsid w:val="00C83659"/>
    <w:rsid w:val="00C96AEF"/>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0781"/>
    <w:rsid w:val="00D31735"/>
    <w:rsid w:val="00D33FE5"/>
    <w:rsid w:val="00D348C0"/>
    <w:rsid w:val="00D3578A"/>
    <w:rsid w:val="00D43A15"/>
    <w:rsid w:val="00D4463C"/>
    <w:rsid w:val="00D475C0"/>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A2AA1"/>
    <w:rsid w:val="00DA6DAA"/>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44AFC"/>
    <w:rsid w:val="00E60192"/>
    <w:rsid w:val="00E62DCB"/>
    <w:rsid w:val="00E651DD"/>
    <w:rsid w:val="00E66558"/>
    <w:rsid w:val="00E70D81"/>
    <w:rsid w:val="00E726A6"/>
    <w:rsid w:val="00E73418"/>
    <w:rsid w:val="00E8109E"/>
    <w:rsid w:val="00E86F05"/>
    <w:rsid w:val="00EA3A2A"/>
    <w:rsid w:val="00EB4556"/>
    <w:rsid w:val="00EB64C8"/>
    <w:rsid w:val="00EC17CE"/>
    <w:rsid w:val="00ED3E99"/>
    <w:rsid w:val="00ED4136"/>
    <w:rsid w:val="00ED5108"/>
    <w:rsid w:val="00ED6AE8"/>
    <w:rsid w:val="00ED6F47"/>
    <w:rsid w:val="00EE2CB2"/>
    <w:rsid w:val="00EE7443"/>
    <w:rsid w:val="00F012CA"/>
    <w:rsid w:val="00F01752"/>
    <w:rsid w:val="00F017D2"/>
    <w:rsid w:val="00F0355A"/>
    <w:rsid w:val="00F05C44"/>
    <w:rsid w:val="00F15753"/>
    <w:rsid w:val="00F21F92"/>
    <w:rsid w:val="00F24A7E"/>
    <w:rsid w:val="00F32ABA"/>
    <w:rsid w:val="00F33DC0"/>
    <w:rsid w:val="00F33F28"/>
    <w:rsid w:val="00F34A47"/>
    <w:rsid w:val="00F35A40"/>
    <w:rsid w:val="00F35FDE"/>
    <w:rsid w:val="00F40DE1"/>
    <w:rsid w:val="00F4142A"/>
    <w:rsid w:val="00F62587"/>
    <w:rsid w:val="00F631A6"/>
    <w:rsid w:val="00F63E9E"/>
    <w:rsid w:val="00F66AA7"/>
    <w:rsid w:val="00F723D0"/>
    <w:rsid w:val="00F75603"/>
    <w:rsid w:val="00F76843"/>
    <w:rsid w:val="00F776E1"/>
    <w:rsid w:val="00F925EB"/>
    <w:rsid w:val="00F97033"/>
    <w:rsid w:val="00FA6DD0"/>
    <w:rsid w:val="00FC28DF"/>
    <w:rsid w:val="00FD2297"/>
    <w:rsid w:val="00FD4F2D"/>
    <w:rsid w:val="00FD6AC6"/>
    <w:rsid w:val="00FE3024"/>
    <w:rsid w:val="00FE3136"/>
    <w:rsid w:val="00FE50A3"/>
    <w:rsid w:val="00FE5204"/>
    <w:rsid w:val="00FE604C"/>
    <w:rsid w:val="00FF369D"/>
    <w:rsid w:val="00FF3C54"/>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96975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ducationendowmentfoundation.org.uk/education-evidence/guidance-reports/effective-professional-development" TargetMode="External"/><Relationship Id="rId18" Type="http://schemas.openxmlformats.org/officeDocument/2006/relationships/hyperlink" Target="https://www.traumainformedschools.co.uk/evidence-base" TargetMode="External"/><Relationship Id="rId3" Type="http://schemas.openxmlformats.org/officeDocument/2006/relationships/settings" Target="settings.xml"/><Relationship Id="rId21" Type="http://schemas.openxmlformats.org/officeDocument/2006/relationships/hyperlink" Target="https://nationalcollege.com/secondary" TargetMode="External"/><Relationship Id="rId7" Type="http://schemas.openxmlformats.org/officeDocument/2006/relationships/image" Target="media/image1.png"/><Relationship Id="rId12" Type="http://schemas.openxmlformats.org/officeDocument/2006/relationships/hyperlink" Target="https://educationendowmentfoundation.org.uk/education-evidence/teaching-learning-toolkit/reading-comprehension-strategies" TargetMode="External"/><Relationship Id="rId17" Type="http://schemas.openxmlformats.org/officeDocument/2006/relationships/hyperlink" Target="https://educationendowmentfoundation.org.uk/education-evidence/guidance-reports/behaviou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parental-engagement" TargetMode="External"/><Relationship Id="rId20" Type="http://schemas.openxmlformats.org/officeDocument/2006/relationships/hyperlink" Target="https://www.gl-assessment.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effective-professional-developme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mentoring" TargetMode="External"/><Relationship Id="rId23" Type="http://schemas.openxmlformats.org/officeDocument/2006/relationships/footer" Target="footer1.xml"/><Relationship Id="rId10" Type="http://schemas.openxmlformats.org/officeDocument/2006/relationships/hyperlink" Target="https://educationendowmentfoundation.org.uk/education-evidence/guidance-reports/behaviour" TargetMode="External"/><Relationship Id="rId19" Type="http://schemas.openxmlformats.org/officeDocument/2006/relationships/hyperlink" Target="https://www.lexialearning.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ducationendowmentfoundation.org.uk/education-evidence/guidance-reports/behaviour"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1267</TotalTime>
  <Pages>9</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V Eldred</cp:lastModifiedBy>
  <cp:revision>48</cp:revision>
  <cp:lastPrinted>2014-09-18T05:26:00Z</cp:lastPrinted>
  <dcterms:created xsi:type="dcterms:W3CDTF">2024-11-26T17:31:00Z</dcterms:created>
  <dcterms:modified xsi:type="dcterms:W3CDTF">2024-12-12T13:20:00Z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